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2942"/>
        <w:gridCol w:w="1599"/>
        <w:gridCol w:w="1486"/>
      </w:tblGrid>
      <w:tr w:rsidR="00267B12" w:rsidTr="004572F2">
        <w:tc>
          <w:tcPr>
            <w:tcW w:w="2518" w:type="dxa"/>
          </w:tcPr>
          <w:p w:rsidR="00267B12" w:rsidRPr="009C71F6" w:rsidRDefault="002B16BD" w:rsidP="004572F2">
            <w:pPr>
              <w:pStyle w:val="Heading3"/>
              <w:spacing w:after="120"/>
              <w:outlineLvl w:val="2"/>
            </w:pPr>
            <w:r>
              <w:t xml:space="preserve"> </w:t>
            </w:r>
            <w:r w:rsidR="00267B12" w:rsidRPr="009C71F6">
              <w:t>Project/</w:t>
            </w:r>
            <w:r w:rsidR="00267B12">
              <w:t>Tranche/</w:t>
            </w:r>
            <w:r w:rsidR="00267B12" w:rsidRPr="009C71F6">
              <w:t>Programme name</w:t>
            </w:r>
          </w:p>
        </w:tc>
        <w:tc>
          <w:tcPr>
            <w:tcW w:w="6724" w:type="dxa"/>
            <w:gridSpan w:val="3"/>
          </w:tcPr>
          <w:p w:rsidR="00267B12" w:rsidRPr="004B038F" w:rsidRDefault="00267B12" w:rsidP="004572F2">
            <w:pPr>
              <w:spacing w:before="200"/>
              <w:rPr>
                <w:i/>
              </w:rPr>
            </w:pPr>
          </w:p>
        </w:tc>
      </w:tr>
      <w:tr w:rsidR="00267B12" w:rsidTr="004572F2">
        <w:tc>
          <w:tcPr>
            <w:tcW w:w="2518" w:type="dxa"/>
          </w:tcPr>
          <w:p w:rsidR="00267B12" w:rsidRPr="009C71F6" w:rsidRDefault="00267B12" w:rsidP="004572F2">
            <w:pPr>
              <w:pStyle w:val="Heading3"/>
              <w:outlineLvl w:val="2"/>
            </w:pPr>
            <w:r w:rsidRPr="009C71F6">
              <w:t>Date:</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267B12" w:rsidTr="004572F2">
        <w:tc>
          <w:tcPr>
            <w:tcW w:w="2518" w:type="dxa"/>
          </w:tcPr>
          <w:p w:rsidR="00267B12" w:rsidRPr="009C71F6" w:rsidRDefault="00267B12" w:rsidP="004572F2">
            <w:pPr>
              <w:pStyle w:val="Heading3"/>
              <w:outlineLvl w:val="2"/>
            </w:pPr>
            <w:r>
              <w:t>Author:</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267B12" w:rsidTr="004572F2">
        <w:tc>
          <w:tcPr>
            <w:tcW w:w="2518" w:type="dxa"/>
          </w:tcPr>
          <w:p w:rsidR="00267B12" w:rsidRPr="009C71F6" w:rsidRDefault="00267B12" w:rsidP="004572F2">
            <w:pPr>
              <w:pStyle w:val="Heading3"/>
              <w:outlineLvl w:val="2"/>
            </w:pPr>
            <w:r>
              <w:t>Document reference:</w:t>
            </w:r>
          </w:p>
        </w:tc>
        <w:tc>
          <w:tcPr>
            <w:tcW w:w="3362"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c>
          <w:tcPr>
            <w:tcW w:w="1681" w:type="dxa"/>
          </w:tcPr>
          <w:p w:rsidR="00267B12" w:rsidRDefault="00267B12" w:rsidP="004572F2">
            <w:pPr>
              <w:pStyle w:val="Heading3"/>
              <w:outlineLvl w:val="2"/>
            </w:pPr>
            <w:r>
              <w:t>Version:</w:t>
            </w:r>
          </w:p>
        </w:tc>
        <w:tc>
          <w:tcPr>
            <w:tcW w:w="1681"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bl>
    <w:p w:rsidR="00267B12" w:rsidRDefault="00267B12" w:rsidP="00267B12"/>
    <w:p w:rsidR="00267B12" w:rsidRDefault="00267B12" w:rsidP="00267B12">
      <w:pPr>
        <w:pStyle w:val="Heading2"/>
      </w:pPr>
      <w:r>
        <w:t>Revision History</w:t>
      </w:r>
    </w:p>
    <w:p w:rsidR="00267B12" w:rsidRPr="009060CE" w:rsidRDefault="00267B12" w:rsidP="00267B12">
      <w:pPr>
        <w:pStyle w:val="NoSpacing"/>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5812"/>
        <w:gridCol w:w="1904"/>
      </w:tblGrid>
      <w:tr w:rsidR="00267B12" w:rsidTr="004572F2">
        <w:tc>
          <w:tcPr>
            <w:tcW w:w="1526" w:type="dxa"/>
            <w:shd w:val="clear" w:color="auto" w:fill="F2F2F2" w:themeFill="background1" w:themeFillShade="F2"/>
          </w:tcPr>
          <w:p w:rsidR="00267B12" w:rsidRPr="009C71F6" w:rsidRDefault="00267B12" w:rsidP="004572F2">
            <w:pPr>
              <w:jc w:val="center"/>
            </w:pPr>
            <w:r>
              <w:t>Date</w:t>
            </w:r>
          </w:p>
        </w:tc>
        <w:tc>
          <w:tcPr>
            <w:tcW w:w="5812" w:type="dxa"/>
            <w:shd w:val="clear" w:color="auto" w:fill="F2F2F2" w:themeFill="background1" w:themeFillShade="F2"/>
          </w:tcPr>
          <w:p w:rsidR="00267B12" w:rsidRDefault="00267B12" w:rsidP="004572F2">
            <w:pPr>
              <w:jc w:val="center"/>
            </w:pPr>
            <w:r>
              <w:t>Summary of changes</w:t>
            </w:r>
          </w:p>
        </w:tc>
        <w:tc>
          <w:tcPr>
            <w:tcW w:w="1904" w:type="dxa"/>
            <w:shd w:val="clear" w:color="auto" w:fill="F2F2F2" w:themeFill="background1" w:themeFillShade="F2"/>
          </w:tcPr>
          <w:p w:rsidR="00267B12" w:rsidRDefault="00267B12" w:rsidP="004572F2">
            <w:pPr>
              <w:jc w:val="center"/>
            </w:pPr>
            <w:r>
              <w:t>Version</w:t>
            </w:r>
          </w:p>
        </w:tc>
      </w:tr>
      <w:tr w:rsidR="00267B12"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r w:rsidR="00267B12"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pPr>
        <w:spacing w:afterLines="120" w:after="288"/>
        <w:rPr>
          <w:rFonts w:asciiTheme="majorHAnsi" w:eastAsiaTheme="majorEastAsia" w:hAnsiTheme="majorHAnsi" w:cstheme="majorBidi"/>
          <w:b/>
          <w:bCs/>
          <w:color w:val="4F81BD" w:themeColor="accent1"/>
          <w:sz w:val="26"/>
          <w:szCs w:val="26"/>
        </w:rPr>
      </w:pPr>
    </w:p>
    <w:p w:rsidR="00267B12" w:rsidRDefault="00267B12" w:rsidP="00267B12">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Approvals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1890"/>
        <w:gridCol w:w="1942"/>
        <w:gridCol w:w="1942"/>
        <w:gridCol w:w="1942"/>
      </w:tblGrid>
      <w:tr w:rsidR="00267B12" w:rsidTr="004572F2">
        <w:tc>
          <w:tcPr>
            <w:tcW w:w="1526" w:type="dxa"/>
            <w:shd w:val="clear" w:color="auto" w:fill="F2F2F2" w:themeFill="background1" w:themeFillShade="F2"/>
            <w:vAlign w:val="center"/>
          </w:tcPr>
          <w:p w:rsidR="00267B12" w:rsidRPr="009C71F6" w:rsidRDefault="00267B12" w:rsidP="004572F2">
            <w:pPr>
              <w:jc w:val="center"/>
            </w:pPr>
            <w:r>
              <w:t>Name</w:t>
            </w:r>
          </w:p>
        </w:tc>
        <w:tc>
          <w:tcPr>
            <w:tcW w:w="1890" w:type="dxa"/>
            <w:shd w:val="clear" w:color="auto" w:fill="F2F2F2" w:themeFill="background1" w:themeFillShade="F2"/>
            <w:vAlign w:val="center"/>
          </w:tcPr>
          <w:p w:rsidR="00267B12" w:rsidRDefault="00267B12" w:rsidP="004572F2">
            <w:pPr>
              <w:jc w:val="center"/>
            </w:pPr>
            <w:r>
              <w:t>Version</w:t>
            </w:r>
          </w:p>
        </w:tc>
        <w:tc>
          <w:tcPr>
            <w:tcW w:w="1942" w:type="dxa"/>
            <w:shd w:val="clear" w:color="auto" w:fill="F2F2F2" w:themeFill="background1" w:themeFillShade="F2"/>
            <w:vAlign w:val="center"/>
          </w:tcPr>
          <w:p w:rsidR="00267B12" w:rsidRDefault="00267B12" w:rsidP="004572F2">
            <w:pPr>
              <w:jc w:val="center"/>
            </w:pPr>
            <w:r>
              <w:t>Date</w:t>
            </w:r>
          </w:p>
        </w:tc>
        <w:tc>
          <w:tcPr>
            <w:tcW w:w="1942" w:type="dxa"/>
            <w:shd w:val="clear" w:color="auto" w:fill="F2F2F2" w:themeFill="background1" w:themeFillShade="F2"/>
            <w:vAlign w:val="center"/>
          </w:tcPr>
          <w:p w:rsidR="00267B12" w:rsidRDefault="00267B12" w:rsidP="004572F2">
            <w:pPr>
              <w:jc w:val="center"/>
            </w:pPr>
            <w:r>
              <w:t>Approval context</w:t>
            </w:r>
          </w:p>
        </w:tc>
        <w:tc>
          <w:tcPr>
            <w:tcW w:w="1942" w:type="dxa"/>
            <w:shd w:val="clear" w:color="auto" w:fill="F2F2F2" w:themeFill="background1" w:themeFillShade="F2"/>
            <w:vAlign w:val="center"/>
          </w:tcPr>
          <w:p w:rsidR="00267B12" w:rsidRDefault="00267B12" w:rsidP="004572F2">
            <w:pPr>
              <w:jc w:val="center"/>
            </w:pPr>
            <w:r>
              <w:t>Signature</w:t>
            </w:r>
          </w:p>
        </w:tc>
      </w:tr>
      <w:tr w:rsidR="00267B12" w:rsidTr="004572F2">
        <w:tc>
          <w:tcPr>
            <w:tcW w:w="1526" w:type="dxa"/>
          </w:tcPr>
          <w:p w:rsidR="00267B12" w:rsidRPr="009C71F6" w:rsidRDefault="00267B12" w:rsidP="004572F2"/>
        </w:tc>
        <w:tc>
          <w:tcPr>
            <w:tcW w:w="1890"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Pr="00526493" w:rsidRDefault="0027700B" w:rsidP="0027700B">
            <w:pPr>
              <w:spacing w:before="120" w:after="120"/>
              <w:rPr>
                <w:i/>
              </w:rPr>
            </w:pPr>
            <w:r w:rsidRPr="0027700B">
              <w:rPr>
                <w:i/>
              </w:rPr>
              <w:t>This document, along with other management plans should be approved in the definition process.</w:t>
            </w:r>
          </w:p>
        </w:tc>
        <w:tc>
          <w:tcPr>
            <w:tcW w:w="1942" w:type="dxa"/>
          </w:tcPr>
          <w:p w:rsidR="00267B12" w:rsidRPr="00492AAC" w:rsidRDefault="00492AAC" w:rsidP="00492AAC">
            <w:pPr>
              <w:spacing w:before="120" w:after="120"/>
              <w:rPr>
                <w:i/>
              </w:rPr>
            </w:pPr>
            <w:r w:rsidRPr="00492AAC">
              <w:rPr>
                <w:i/>
              </w:rPr>
              <w:t>The signature of the person giving approval, usually the sponsor. If approval is not being given by the sponsor, the approval context should explain why.</w:t>
            </w:r>
          </w:p>
        </w:tc>
      </w:tr>
      <w:tr w:rsidR="00267B12" w:rsidTr="004572F2">
        <w:tc>
          <w:tcPr>
            <w:tcW w:w="1526" w:type="dxa"/>
          </w:tcPr>
          <w:p w:rsidR="00267B12" w:rsidRPr="009C71F6" w:rsidRDefault="00267B12" w:rsidP="004572F2"/>
        </w:tc>
        <w:tc>
          <w:tcPr>
            <w:tcW w:w="1890"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pPr>
        <w:spacing w:afterLines="120" w:after="288"/>
        <w:rPr>
          <w:rFonts w:asciiTheme="majorHAnsi" w:eastAsiaTheme="majorEastAsia" w:hAnsiTheme="majorHAnsi" w:cstheme="majorBidi"/>
          <w:b/>
          <w:bCs/>
          <w:color w:val="4F81BD" w:themeColor="accent1"/>
          <w:sz w:val="26"/>
          <w:szCs w:val="26"/>
        </w:rPr>
      </w:pPr>
    </w:p>
    <w:p w:rsidR="00267B12" w:rsidRPr="009C71F6" w:rsidRDefault="00267B12" w:rsidP="00267B12">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Distribution</w:t>
      </w:r>
    </w:p>
    <w:tbl>
      <w:tblPr>
        <w:tblStyle w:val="TableGrid"/>
        <w:tblW w:w="92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13"/>
        <w:gridCol w:w="1957"/>
        <w:gridCol w:w="1958"/>
        <w:gridCol w:w="1958"/>
      </w:tblGrid>
      <w:tr w:rsidR="00267B12" w:rsidTr="004572F2">
        <w:tc>
          <w:tcPr>
            <w:tcW w:w="3413" w:type="dxa"/>
            <w:shd w:val="clear" w:color="auto" w:fill="F2F2F2" w:themeFill="background1" w:themeFillShade="F2"/>
            <w:vAlign w:val="center"/>
          </w:tcPr>
          <w:p w:rsidR="00267B12" w:rsidRPr="009C71F6" w:rsidRDefault="00267B12" w:rsidP="004572F2">
            <w:pPr>
              <w:jc w:val="center"/>
            </w:pPr>
            <w:r>
              <w:t>Distributed to:</w:t>
            </w:r>
          </w:p>
        </w:tc>
        <w:tc>
          <w:tcPr>
            <w:tcW w:w="1957" w:type="dxa"/>
            <w:shd w:val="clear" w:color="auto" w:fill="F2F2F2" w:themeFill="background1" w:themeFillShade="F2"/>
            <w:vAlign w:val="center"/>
          </w:tcPr>
          <w:p w:rsidR="00267B12" w:rsidRDefault="00267B12" w:rsidP="004572F2">
            <w:pPr>
              <w:jc w:val="center"/>
            </w:pPr>
            <w:r>
              <w:t>Version</w:t>
            </w:r>
          </w:p>
        </w:tc>
        <w:tc>
          <w:tcPr>
            <w:tcW w:w="1958" w:type="dxa"/>
            <w:shd w:val="clear" w:color="auto" w:fill="F2F2F2" w:themeFill="background1" w:themeFillShade="F2"/>
            <w:vAlign w:val="center"/>
          </w:tcPr>
          <w:p w:rsidR="00267B12" w:rsidRDefault="00267B12" w:rsidP="004572F2">
            <w:pPr>
              <w:jc w:val="center"/>
            </w:pPr>
            <w:r>
              <w:t>Date</w:t>
            </w:r>
          </w:p>
        </w:tc>
        <w:tc>
          <w:tcPr>
            <w:tcW w:w="1958" w:type="dxa"/>
            <w:shd w:val="clear" w:color="auto" w:fill="F2F2F2" w:themeFill="background1" w:themeFillShade="F2"/>
            <w:vAlign w:val="center"/>
          </w:tcPr>
          <w:p w:rsidR="00267B12" w:rsidRDefault="00267B12" w:rsidP="004572F2">
            <w:pPr>
              <w:jc w:val="center"/>
            </w:pPr>
            <w:r>
              <w:t>Signature</w:t>
            </w: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Pr="00526493" w:rsidRDefault="00267B12" w:rsidP="004572F2">
            <w:pPr>
              <w:rPr>
                <w:rFonts w:asciiTheme="majorHAnsi" w:eastAsiaTheme="majorEastAsia" w:hAnsiTheme="majorHAnsi" w:cstheme="majorBidi"/>
                <w:b/>
                <w:bCs/>
                <w:i/>
                <w:color w:val="4F81BD" w:themeColor="accent1"/>
                <w:sz w:val="26"/>
                <w:szCs w:val="26"/>
              </w:rPr>
            </w:pP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r>
        <w:br w:type="page"/>
      </w:r>
    </w:p>
    <w:p w:rsidR="00267B12" w:rsidRDefault="00267B12" w:rsidP="00267B12">
      <w:pPr>
        <w:pStyle w:val="Heading2"/>
      </w:pPr>
    </w:p>
    <w:p w:rsidR="00267B12" w:rsidRDefault="00383F87" w:rsidP="00267B12">
      <w:pPr>
        <w:pStyle w:val="Heading2"/>
      </w:pPr>
      <w:r>
        <w:t>Policy</w:t>
      </w:r>
    </w:p>
    <w:p w:rsidR="00267B12" w:rsidRPr="003F0C4D" w:rsidRDefault="00267B12" w:rsidP="00267B12">
      <w:pPr>
        <w:pStyle w:val="NoSpacing"/>
      </w:pPr>
    </w:p>
    <w:tbl>
      <w:tblPr>
        <w:tblStyle w:val="TableGrid"/>
        <w:tblW w:w="0" w:type="auto"/>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4A0" w:firstRow="1" w:lastRow="0" w:firstColumn="1" w:lastColumn="0" w:noHBand="0" w:noVBand="1"/>
      </w:tblPr>
      <w:tblGrid>
        <w:gridCol w:w="5061"/>
        <w:gridCol w:w="4181"/>
      </w:tblGrid>
      <w:tr w:rsidR="008D0146" w:rsidTr="008D0146">
        <w:tc>
          <w:tcPr>
            <w:tcW w:w="5061" w:type="dxa"/>
          </w:tcPr>
          <w:p w:rsidR="008D0146" w:rsidRDefault="008D0146" w:rsidP="004572F2">
            <w:pPr>
              <w:pStyle w:val="Heading3"/>
              <w:keepNext w:val="0"/>
              <w:outlineLvl w:val="2"/>
            </w:pPr>
            <w:r>
              <w:t>Introduction</w:t>
            </w:r>
          </w:p>
          <w:p w:rsidR="008D0146" w:rsidRPr="009D282C" w:rsidRDefault="008D0146" w:rsidP="004572F2">
            <w:pPr>
              <w:spacing w:after="120"/>
            </w:pPr>
          </w:p>
        </w:tc>
        <w:tc>
          <w:tcPr>
            <w:tcW w:w="4181" w:type="dxa"/>
            <w:shd w:val="clear" w:color="auto" w:fill="D6E3BC" w:themeFill="accent3" w:themeFillTint="66"/>
          </w:tcPr>
          <w:p w:rsidR="008D0146" w:rsidRDefault="008D0146" w:rsidP="00F22790">
            <w:pPr>
              <w:spacing w:before="120" w:after="120"/>
            </w:pPr>
            <w:r>
              <w:t>The introduction will describe the background to the work and make it clear how assurance supports sponsorship and delivery.</w:t>
            </w:r>
          </w:p>
        </w:tc>
      </w:tr>
      <w:tr w:rsidR="008D0146" w:rsidTr="008D0146">
        <w:tc>
          <w:tcPr>
            <w:tcW w:w="5061" w:type="dxa"/>
          </w:tcPr>
          <w:p w:rsidR="008D0146" w:rsidRDefault="008D0146" w:rsidP="004572F2">
            <w:pPr>
              <w:pStyle w:val="Heading3"/>
              <w:keepNext w:val="0"/>
              <w:outlineLvl w:val="2"/>
            </w:pPr>
            <w:r>
              <w:t>Roles and responsibilities</w:t>
            </w:r>
          </w:p>
          <w:p w:rsidR="008D0146" w:rsidRPr="00A57AA4" w:rsidRDefault="008D0146" w:rsidP="004572F2">
            <w:pPr>
              <w:spacing w:after="120"/>
            </w:pPr>
          </w:p>
        </w:tc>
        <w:tc>
          <w:tcPr>
            <w:tcW w:w="4181" w:type="dxa"/>
            <w:shd w:val="clear" w:color="auto" w:fill="D6E3BC" w:themeFill="accent3" w:themeFillTint="66"/>
          </w:tcPr>
          <w:p w:rsidR="008D0146" w:rsidRDefault="008D0146" w:rsidP="00F22790">
            <w:pPr>
              <w:spacing w:before="120" w:after="120"/>
            </w:pPr>
            <w:r>
              <w:t>Internal assurance may be performed by members of the management team provided they are not assuring their own work. External assurance must be carried out by a person or team who are not connected with the day to day management of the project, programme or portfolio.</w:t>
            </w:r>
          </w:p>
          <w:p w:rsidR="008D0146" w:rsidRDefault="008D0146" w:rsidP="00F22790">
            <w:pPr>
              <w:spacing w:after="120"/>
            </w:pPr>
            <w:r>
              <w:t xml:space="preserve">This section must clearly identify roles and responsibilities taking into account the importance of effective and ethical assurance to the </w:t>
            </w:r>
            <w:r w:rsidRPr="008D6BF8">
              <w:t>sponsorship and delivery of a project, programme or portfolio.</w:t>
            </w:r>
          </w:p>
        </w:tc>
      </w:tr>
      <w:tr w:rsidR="008D0146" w:rsidTr="008D0146">
        <w:tc>
          <w:tcPr>
            <w:tcW w:w="5061" w:type="dxa"/>
          </w:tcPr>
          <w:p w:rsidR="008D0146" w:rsidRDefault="008D0146" w:rsidP="004572F2">
            <w:pPr>
              <w:pStyle w:val="Heading3"/>
              <w:keepNext w:val="0"/>
              <w:outlineLvl w:val="2"/>
            </w:pPr>
            <w:r>
              <w:t>Information management</w:t>
            </w:r>
          </w:p>
          <w:p w:rsidR="008D0146" w:rsidRPr="00A57AA4" w:rsidRDefault="008D0146" w:rsidP="00B74CA5"/>
        </w:tc>
        <w:tc>
          <w:tcPr>
            <w:tcW w:w="4181" w:type="dxa"/>
            <w:shd w:val="clear" w:color="auto" w:fill="D6E3BC" w:themeFill="accent3" w:themeFillTint="66"/>
          </w:tcPr>
          <w:p w:rsidR="008D0146" w:rsidRDefault="008D0146" w:rsidP="00F22790">
            <w:pPr>
              <w:spacing w:before="120" w:after="120"/>
            </w:pPr>
            <w:r>
              <w:t>The composition and format of assurance reports will be described here together with the principles of how these should be communicated to the management team and other stakeholders.</w:t>
            </w:r>
          </w:p>
        </w:tc>
      </w:tr>
      <w:tr w:rsidR="008D0146" w:rsidTr="008D0146">
        <w:trPr>
          <w:cantSplit/>
        </w:trPr>
        <w:tc>
          <w:tcPr>
            <w:tcW w:w="5061" w:type="dxa"/>
          </w:tcPr>
          <w:p w:rsidR="008D0146" w:rsidRDefault="008D0146" w:rsidP="004572F2">
            <w:pPr>
              <w:pStyle w:val="Heading3"/>
              <w:keepNext w:val="0"/>
              <w:outlineLvl w:val="2"/>
            </w:pPr>
            <w:r>
              <w:t>Assurance</w:t>
            </w:r>
          </w:p>
          <w:p w:rsidR="008D0146" w:rsidRPr="009060CE" w:rsidRDefault="008D0146" w:rsidP="00383F87">
            <w:pPr>
              <w:pStyle w:val="NoSpacing"/>
            </w:pPr>
          </w:p>
        </w:tc>
        <w:tc>
          <w:tcPr>
            <w:tcW w:w="4181" w:type="dxa"/>
            <w:shd w:val="clear" w:color="auto" w:fill="D6E3BC" w:themeFill="accent3" w:themeFillTint="66"/>
          </w:tcPr>
          <w:p w:rsidR="008D0146" w:rsidRDefault="008D0146" w:rsidP="00F22790">
            <w:pPr>
              <w:spacing w:before="120" w:after="120"/>
            </w:pPr>
            <w:r>
              <w:t>This section will explain the operational relationship between internal and external assurance.</w:t>
            </w:r>
          </w:p>
        </w:tc>
      </w:tr>
      <w:tr w:rsidR="008D0146" w:rsidTr="008D0146">
        <w:trPr>
          <w:cantSplit/>
        </w:trPr>
        <w:tc>
          <w:tcPr>
            <w:tcW w:w="5061" w:type="dxa"/>
          </w:tcPr>
          <w:p w:rsidR="008D0146" w:rsidRDefault="008D0146" w:rsidP="004572F2">
            <w:pPr>
              <w:pStyle w:val="Heading3"/>
              <w:keepNext w:val="0"/>
              <w:outlineLvl w:val="2"/>
            </w:pPr>
            <w:r>
              <w:t>Budget</w:t>
            </w:r>
          </w:p>
          <w:p w:rsidR="008D0146" w:rsidRPr="00383F87" w:rsidRDefault="008D0146" w:rsidP="00383F87">
            <w:bookmarkStart w:id="0" w:name="_GoBack"/>
            <w:bookmarkEnd w:id="0"/>
          </w:p>
        </w:tc>
        <w:tc>
          <w:tcPr>
            <w:tcW w:w="4181" w:type="dxa"/>
            <w:shd w:val="clear" w:color="auto" w:fill="D6E3BC" w:themeFill="accent3" w:themeFillTint="66"/>
          </w:tcPr>
          <w:p w:rsidR="008D0146" w:rsidRDefault="008D0146" w:rsidP="00F22790">
            <w:pPr>
              <w:spacing w:before="120" w:after="120"/>
            </w:pPr>
            <w:r>
              <w:t>Internal assurance is usually performed by people who have other roles and responsibilities on the management team and separate identification of the cost of assurance activity will only be necessary in complex, rigorously assured contexts.</w:t>
            </w:r>
          </w:p>
          <w:p w:rsidR="008D0146" w:rsidRDefault="008D0146" w:rsidP="00F22790">
            <w:pPr>
              <w:spacing w:after="120"/>
            </w:pPr>
            <w:r>
              <w:t>External assurance is usually covered by an external budget. However, this means that a programme would have a budget for assurance of its component projects and a portfolio would have a budget for assurance of its component programmes etc.</w:t>
            </w:r>
          </w:p>
        </w:tc>
      </w:tr>
    </w:tbl>
    <w:p w:rsidR="00267B12" w:rsidRDefault="00267B12" w:rsidP="00267B12">
      <w:pPr>
        <w:pStyle w:val="NoSpacing"/>
      </w:pPr>
    </w:p>
    <w:p w:rsidR="008D0146" w:rsidRDefault="008D0146" w:rsidP="00267B12">
      <w:pPr>
        <w:pStyle w:val="NoSpacing"/>
        <w:rPr>
          <w:i/>
        </w:rPr>
      </w:pPr>
      <w:r w:rsidRPr="008D0146">
        <w:rPr>
          <w:i/>
        </w:rPr>
        <w:t xml:space="preserve">There is no interfaces section </w:t>
      </w:r>
      <w:r>
        <w:rPr>
          <w:i/>
        </w:rPr>
        <w:t>under policy</w:t>
      </w:r>
      <w:r w:rsidRPr="008D0146">
        <w:rPr>
          <w:i/>
        </w:rPr>
        <w:t xml:space="preserve"> because, by definition, assurance interfaces with every other function.</w:t>
      </w:r>
    </w:p>
    <w:p w:rsidR="008D0146" w:rsidRPr="008D0146" w:rsidRDefault="008D0146" w:rsidP="00267B12">
      <w:pPr>
        <w:pStyle w:val="NoSpacing"/>
        <w:rPr>
          <w:i/>
        </w:rPr>
      </w:pPr>
    </w:p>
    <w:p w:rsidR="00267B12" w:rsidRDefault="00383F87" w:rsidP="00267B12">
      <w:pPr>
        <w:pStyle w:val="Heading2"/>
      </w:pPr>
      <w:r>
        <w:t>Procedure</w:t>
      </w:r>
    </w:p>
    <w:p w:rsidR="008D0146" w:rsidRDefault="008D0146" w:rsidP="008D0146">
      <w:pPr>
        <w:rPr>
          <w:i/>
        </w:rPr>
      </w:pPr>
      <w:r w:rsidRPr="008D0146">
        <w:rPr>
          <w:i/>
        </w:rPr>
        <w:t>There is not a standard procedure for assurance since the specific steps are entirely dependent upon the context of the work. In principle the procedure must include steps that fulfil the goals of the assurance function.</w:t>
      </w:r>
    </w:p>
    <w:p w:rsidR="008D0146" w:rsidRDefault="008D0146" w:rsidP="008D0146">
      <w:pPr>
        <w:rPr>
          <w:i/>
        </w:rPr>
      </w:pPr>
      <w:r>
        <w:rPr>
          <w:i/>
        </w:rPr>
        <w:t>The key activities that need to be covered are described in the ‘provide assurance’ competency. These are to:</w:t>
      </w:r>
    </w:p>
    <w:p w:rsidR="008D0146" w:rsidRDefault="008D0146" w:rsidP="008D0146">
      <w:pPr>
        <w:pStyle w:val="ListParagraph"/>
        <w:numPr>
          <w:ilvl w:val="0"/>
          <w:numId w:val="29"/>
        </w:numPr>
        <w:rPr>
          <w:i/>
        </w:rPr>
      </w:pPr>
      <w:r>
        <w:rPr>
          <w:i/>
        </w:rPr>
        <w:t>Review life cycle processes</w:t>
      </w:r>
    </w:p>
    <w:p w:rsidR="008D0146" w:rsidRDefault="008D0146" w:rsidP="008D0146">
      <w:pPr>
        <w:pStyle w:val="ListParagraph"/>
        <w:numPr>
          <w:ilvl w:val="0"/>
          <w:numId w:val="29"/>
        </w:numPr>
        <w:rPr>
          <w:i/>
        </w:rPr>
      </w:pPr>
      <w:r>
        <w:rPr>
          <w:i/>
        </w:rPr>
        <w:t>Review management plans</w:t>
      </w:r>
    </w:p>
    <w:p w:rsidR="008D0146" w:rsidRDefault="008D0146" w:rsidP="008D0146">
      <w:pPr>
        <w:pStyle w:val="ListParagraph"/>
        <w:numPr>
          <w:ilvl w:val="0"/>
          <w:numId w:val="29"/>
        </w:numPr>
        <w:rPr>
          <w:i/>
        </w:rPr>
      </w:pPr>
      <w:r>
        <w:rPr>
          <w:i/>
        </w:rPr>
        <w:t>Audit quality control activity</w:t>
      </w:r>
    </w:p>
    <w:p w:rsidR="008D0146" w:rsidRDefault="008D0146" w:rsidP="008D0146">
      <w:pPr>
        <w:pStyle w:val="ListParagraph"/>
        <w:numPr>
          <w:ilvl w:val="0"/>
          <w:numId w:val="29"/>
        </w:numPr>
        <w:rPr>
          <w:i/>
        </w:rPr>
      </w:pPr>
      <w:r>
        <w:rPr>
          <w:i/>
        </w:rPr>
        <w:t>Maintain assurance documentation</w:t>
      </w:r>
    </w:p>
    <w:p w:rsidR="008D0146" w:rsidRPr="008D0146" w:rsidRDefault="008D0146" w:rsidP="008D0146">
      <w:pPr>
        <w:pStyle w:val="ListParagraph"/>
        <w:numPr>
          <w:ilvl w:val="0"/>
          <w:numId w:val="29"/>
        </w:numPr>
        <w:rPr>
          <w:i/>
        </w:rPr>
      </w:pPr>
      <w:r w:rsidRPr="008D0146">
        <w:rPr>
          <w:i/>
        </w:rPr>
        <w:t>Communicate the outcomes of assurance</w:t>
      </w:r>
    </w:p>
    <w:p w:rsidR="008D0146" w:rsidRPr="008D0146" w:rsidRDefault="008D0146" w:rsidP="008D0146">
      <w:pPr>
        <w:rPr>
          <w:i/>
        </w:rPr>
      </w:pPr>
      <w:r w:rsidRPr="008D0146">
        <w:rPr>
          <w:i/>
        </w:rPr>
        <w:t>This section will explain how those activities should be performed.</w:t>
      </w:r>
    </w:p>
    <w:sectPr w:rsidR="008D0146" w:rsidRPr="008D0146" w:rsidSect="00B6566D">
      <w:headerReference w:type="even" r:id="rId7"/>
      <w:headerReference w:type="default" r:id="rId8"/>
      <w:footerReference w:type="even" r:id="rId9"/>
      <w:footerReference w:type="default" r:id="rId10"/>
      <w:headerReference w:type="first" r:id="rId11"/>
      <w:footerReference w:type="first" r:id="rId12"/>
      <w:pgSz w:w="11906" w:h="16838"/>
      <w:pgMar w:top="1702" w:right="1440" w:bottom="1440"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CC6" w:rsidRDefault="003F2CC6" w:rsidP="00B134CB">
      <w:pPr>
        <w:spacing w:after="0" w:line="240" w:lineRule="auto"/>
      </w:pPr>
      <w:r>
        <w:separator/>
      </w:r>
    </w:p>
  </w:endnote>
  <w:endnote w:type="continuationSeparator" w:id="0">
    <w:p w:rsidR="003F2CC6" w:rsidRDefault="003F2CC6" w:rsidP="00B1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D52" w:rsidRDefault="00EE5D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52" w:rsidRDefault="005F4A52" w:rsidP="00620548">
    <w:pPr>
      <w:pStyle w:val="Footer"/>
      <w:jc w:val="right"/>
    </w:pPr>
    <w:r w:rsidRPr="00B6566D">
      <w:rPr>
        <w:noProof/>
        <w:sz w:val="18"/>
        <w:szCs w:val="18"/>
        <w:lang w:eastAsia="en-GB"/>
      </w:rPr>
      <w:drawing>
        <wp:anchor distT="0" distB="0" distL="114300" distR="114300" simplePos="0" relativeHeight="251663360" behindDoc="0" locked="0" layoutInCell="1" allowOverlap="1" wp14:anchorId="38F932C1" wp14:editId="4B1CDC19">
          <wp:simplePos x="0" y="0"/>
          <wp:positionH relativeFrom="column">
            <wp:posOffset>-148590</wp:posOffset>
          </wp:positionH>
          <wp:positionV relativeFrom="paragraph">
            <wp:posOffset>-42707</wp:posOffset>
          </wp:positionV>
          <wp:extent cx="786809" cy="279436"/>
          <wp:effectExtent l="0" t="0" r="0" b="635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09" cy="279436"/>
                  </a:xfrm>
                  <a:prstGeom prst="rect">
                    <a:avLst/>
                  </a:prstGeom>
                  <a:noFill/>
                </pic:spPr>
              </pic:pic>
            </a:graphicData>
          </a:graphic>
          <wp14:sizeRelH relativeFrom="page">
            <wp14:pctWidth>0</wp14:pctWidth>
          </wp14:sizeRelH>
          <wp14:sizeRelV relativeFrom="page">
            <wp14:pctHeight>0</wp14:pctHeight>
          </wp14:sizeRelV>
        </wp:anchor>
      </w:drawing>
    </w:r>
    <w:r w:rsidR="00620548" w:rsidRPr="00B6566D">
      <w:rPr>
        <w:sz w:val="18"/>
        <w:szCs w:val="18"/>
      </w:rPr>
      <w:t>Template supplied by Praxis Framework Ltd</w:t>
    </w:r>
    <w:r w:rsidR="00620548" w:rsidRPr="00B6566D">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D52" w:rsidRDefault="00EE5D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CC6" w:rsidRDefault="003F2CC6" w:rsidP="00B134CB">
      <w:pPr>
        <w:spacing w:after="0" w:line="240" w:lineRule="auto"/>
      </w:pPr>
      <w:r>
        <w:separator/>
      </w:r>
    </w:p>
  </w:footnote>
  <w:footnote w:type="continuationSeparator" w:id="0">
    <w:p w:rsidR="003F2CC6" w:rsidRDefault="003F2CC6" w:rsidP="00B13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D52" w:rsidRDefault="00EE5D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66D" w:rsidRDefault="00B6566D" w:rsidP="009A39B0">
    <w:pPr>
      <w:pStyle w:val="Header"/>
      <w:ind w:left="-1418"/>
    </w:pPr>
  </w:p>
  <w:p w:rsidR="00383F87" w:rsidRDefault="0027700B" w:rsidP="00B6566D">
    <w:pPr>
      <w:pStyle w:val="Header"/>
    </w:pPr>
    <w:r>
      <w:rPr>
        <w:noProof/>
        <w:lang w:eastAsia="en-GB"/>
      </w:rPr>
      <w:drawing>
        <wp:inline distT="0" distB="0" distL="0" distR="0" wp14:anchorId="18CCB38C" wp14:editId="0010D3D6">
          <wp:extent cx="975360" cy="511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11810"/>
                  </a:xfrm>
                  <a:prstGeom prst="rect">
                    <a:avLst/>
                  </a:prstGeom>
                  <a:noFill/>
                </pic:spPr>
              </pic:pic>
            </a:graphicData>
          </a:graphic>
        </wp:inline>
      </w:drawing>
    </w:r>
    <w:r w:rsidR="00B6566D">
      <w:tab/>
    </w:r>
  </w:p>
  <w:p w:rsidR="00383F87" w:rsidRDefault="00383F87" w:rsidP="00383F87">
    <w:pPr>
      <w:pStyle w:val="Header"/>
      <w:jc w:val="center"/>
    </w:pPr>
  </w:p>
  <w:p w:rsidR="00B134CB" w:rsidRDefault="00EE5D52" w:rsidP="00383F87">
    <w:pPr>
      <w:pStyle w:val="Header"/>
      <w:jc w:val="center"/>
      <w:rPr>
        <w:sz w:val="44"/>
      </w:rPr>
    </w:pPr>
    <w:r>
      <w:rPr>
        <w:sz w:val="44"/>
      </w:rPr>
      <w:t>Assurance</w:t>
    </w:r>
    <w:r w:rsidR="00383F87">
      <w:rPr>
        <w:sz w:val="44"/>
      </w:rPr>
      <w:t xml:space="preserve"> management plan</w:t>
    </w:r>
  </w:p>
  <w:p w:rsidR="0027700B" w:rsidRDefault="0027700B" w:rsidP="00383F8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D52" w:rsidRDefault="00EE5D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5E5D"/>
    <w:multiLevelType w:val="hybridMultilevel"/>
    <w:tmpl w:val="AEC2C6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9D7521"/>
    <w:multiLevelType w:val="hybridMultilevel"/>
    <w:tmpl w:val="6EEE075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F05AA0"/>
    <w:multiLevelType w:val="hybridMultilevel"/>
    <w:tmpl w:val="D446326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9203E9"/>
    <w:multiLevelType w:val="hybridMultilevel"/>
    <w:tmpl w:val="551EF16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4">
    <w:nsid w:val="0D13400C"/>
    <w:multiLevelType w:val="hybridMultilevel"/>
    <w:tmpl w:val="ADF290F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667EDD"/>
    <w:multiLevelType w:val="hybridMultilevel"/>
    <w:tmpl w:val="52B438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154EA5"/>
    <w:multiLevelType w:val="hybridMultilevel"/>
    <w:tmpl w:val="8EF257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EC6766"/>
    <w:multiLevelType w:val="hybridMultilevel"/>
    <w:tmpl w:val="3BBAA7E6"/>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F80404"/>
    <w:multiLevelType w:val="hybridMultilevel"/>
    <w:tmpl w:val="55202F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FC95FE4"/>
    <w:multiLevelType w:val="hybridMultilevel"/>
    <w:tmpl w:val="71D0C1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307401"/>
    <w:multiLevelType w:val="hybridMultilevel"/>
    <w:tmpl w:val="029EC92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50536D"/>
    <w:multiLevelType w:val="hybridMultilevel"/>
    <w:tmpl w:val="82709894"/>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525A21"/>
    <w:multiLevelType w:val="hybridMultilevel"/>
    <w:tmpl w:val="CA781A7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3">
    <w:nsid w:val="3CCA40AA"/>
    <w:multiLevelType w:val="hybridMultilevel"/>
    <w:tmpl w:val="F022DC2E"/>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4">
    <w:nsid w:val="40EA0A95"/>
    <w:multiLevelType w:val="hybridMultilevel"/>
    <w:tmpl w:val="581A71A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nsid w:val="42630BF7"/>
    <w:multiLevelType w:val="hybridMultilevel"/>
    <w:tmpl w:val="61C0711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6">
    <w:nsid w:val="42B83C99"/>
    <w:multiLevelType w:val="hybridMultilevel"/>
    <w:tmpl w:val="0BA4F898"/>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FB0502"/>
    <w:multiLevelType w:val="hybridMultilevel"/>
    <w:tmpl w:val="B948A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0E4812"/>
    <w:multiLevelType w:val="hybridMultilevel"/>
    <w:tmpl w:val="54082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32A47AD"/>
    <w:multiLevelType w:val="hybridMultilevel"/>
    <w:tmpl w:val="F2CABC9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CE71C4"/>
    <w:multiLevelType w:val="hybridMultilevel"/>
    <w:tmpl w:val="9E12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AA91F10"/>
    <w:multiLevelType w:val="hybridMultilevel"/>
    <w:tmpl w:val="9E1C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BA67EC7"/>
    <w:multiLevelType w:val="hybridMultilevel"/>
    <w:tmpl w:val="E5C8E20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10525E6"/>
    <w:multiLevelType w:val="hybridMultilevel"/>
    <w:tmpl w:val="4CD4B33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4">
    <w:nsid w:val="759A60AE"/>
    <w:multiLevelType w:val="hybridMultilevel"/>
    <w:tmpl w:val="761C8AC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5">
    <w:nsid w:val="7640473B"/>
    <w:multiLevelType w:val="hybridMultilevel"/>
    <w:tmpl w:val="BB0442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7C51274"/>
    <w:multiLevelType w:val="hybridMultilevel"/>
    <w:tmpl w:val="4A5C1A6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7">
    <w:nsid w:val="78523307"/>
    <w:multiLevelType w:val="hybridMultilevel"/>
    <w:tmpl w:val="A8844BF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8">
    <w:nsid w:val="7BE37A09"/>
    <w:multiLevelType w:val="hybridMultilevel"/>
    <w:tmpl w:val="F9E8FCA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18"/>
  </w:num>
  <w:num w:numId="6">
    <w:abstractNumId w:val="20"/>
  </w:num>
  <w:num w:numId="7">
    <w:abstractNumId w:val="11"/>
  </w:num>
  <w:num w:numId="8">
    <w:abstractNumId w:val="0"/>
  </w:num>
  <w:num w:numId="9">
    <w:abstractNumId w:val="4"/>
  </w:num>
  <w:num w:numId="10">
    <w:abstractNumId w:val="5"/>
  </w:num>
  <w:num w:numId="11">
    <w:abstractNumId w:val="16"/>
  </w:num>
  <w:num w:numId="12">
    <w:abstractNumId w:val="9"/>
  </w:num>
  <w:num w:numId="13">
    <w:abstractNumId w:val="22"/>
  </w:num>
  <w:num w:numId="14">
    <w:abstractNumId w:val="7"/>
  </w:num>
  <w:num w:numId="15">
    <w:abstractNumId w:val="19"/>
  </w:num>
  <w:num w:numId="16">
    <w:abstractNumId w:val="25"/>
  </w:num>
  <w:num w:numId="17">
    <w:abstractNumId w:val="2"/>
  </w:num>
  <w:num w:numId="18">
    <w:abstractNumId w:val="21"/>
  </w:num>
  <w:num w:numId="19">
    <w:abstractNumId w:val="14"/>
  </w:num>
  <w:num w:numId="20">
    <w:abstractNumId w:val="15"/>
  </w:num>
  <w:num w:numId="21">
    <w:abstractNumId w:val="23"/>
  </w:num>
  <w:num w:numId="22">
    <w:abstractNumId w:val="3"/>
  </w:num>
  <w:num w:numId="23">
    <w:abstractNumId w:val="27"/>
  </w:num>
  <w:num w:numId="24">
    <w:abstractNumId w:val="13"/>
  </w:num>
  <w:num w:numId="25">
    <w:abstractNumId w:val="12"/>
  </w:num>
  <w:num w:numId="26">
    <w:abstractNumId w:val="26"/>
  </w:num>
  <w:num w:numId="27">
    <w:abstractNumId w:val="28"/>
  </w:num>
  <w:num w:numId="28">
    <w:abstractNumId w:val="2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CB"/>
    <w:rsid w:val="00002F52"/>
    <w:rsid w:val="0001338B"/>
    <w:rsid w:val="00030BAF"/>
    <w:rsid w:val="00070EB1"/>
    <w:rsid w:val="00073DB8"/>
    <w:rsid w:val="000E6C11"/>
    <w:rsid w:val="001045F5"/>
    <w:rsid w:val="001B3A37"/>
    <w:rsid w:val="001C71E7"/>
    <w:rsid w:val="00207FED"/>
    <w:rsid w:val="002120D3"/>
    <w:rsid w:val="00235535"/>
    <w:rsid w:val="00246B2B"/>
    <w:rsid w:val="00267B12"/>
    <w:rsid w:val="0027700B"/>
    <w:rsid w:val="002B16BD"/>
    <w:rsid w:val="002B5476"/>
    <w:rsid w:val="002C1003"/>
    <w:rsid w:val="002D3217"/>
    <w:rsid w:val="003450DB"/>
    <w:rsid w:val="00360664"/>
    <w:rsid w:val="00361957"/>
    <w:rsid w:val="003673EA"/>
    <w:rsid w:val="00370CAA"/>
    <w:rsid w:val="00383F87"/>
    <w:rsid w:val="00390F4E"/>
    <w:rsid w:val="00392D17"/>
    <w:rsid w:val="003A2602"/>
    <w:rsid w:val="003D1B8B"/>
    <w:rsid w:val="003E35BA"/>
    <w:rsid w:val="003F0C4D"/>
    <w:rsid w:val="003F2CC6"/>
    <w:rsid w:val="0041546A"/>
    <w:rsid w:val="00426ED6"/>
    <w:rsid w:val="00460557"/>
    <w:rsid w:val="00463772"/>
    <w:rsid w:val="00473E79"/>
    <w:rsid w:val="00492AAC"/>
    <w:rsid w:val="004B038F"/>
    <w:rsid w:val="004E5AC6"/>
    <w:rsid w:val="0050156F"/>
    <w:rsid w:val="00526493"/>
    <w:rsid w:val="00565FEB"/>
    <w:rsid w:val="00585CAD"/>
    <w:rsid w:val="005F4A52"/>
    <w:rsid w:val="00620548"/>
    <w:rsid w:val="00621333"/>
    <w:rsid w:val="00661307"/>
    <w:rsid w:val="006E393A"/>
    <w:rsid w:val="006E7E77"/>
    <w:rsid w:val="00705AE1"/>
    <w:rsid w:val="00707BDC"/>
    <w:rsid w:val="00710D6C"/>
    <w:rsid w:val="007540F1"/>
    <w:rsid w:val="00754EAF"/>
    <w:rsid w:val="00805E85"/>
    <w:rsid w:val="00821C33"/>
    <w:rsid w:val="00835FD8"/>
    <w:rsid w:val="0085270D"/>
    <w:rsid w:val="008D0146"/>
    <w:rsid w:val="009060CE"/>
    <w:rsid w:val="009060E7"/>
    <w:rsid w:val="00942C9C"/>
    <w:rsid w:val="009434F0"/>
    <w:rsid w:val="00954288"/>
    <w:rsid w:val="009863EC"/>
    <w:rsid w:val="009978EB"/>
    <w:rsid w:val="009A39B0"/>
    <w:rsid w:val="009C70BB"/>
    <w:rsid w:val="009C71F6"/>
    <w:rsid w:val="009D282C"/>
    <w:rsid w:val="00A20B0E"/>
    <w:rsid w:val="00A444EA"/>
    <w:rsid w:val="00A57AA4"/>
    <w:rsid w:val="00A767B7"/>
    <w:rsid w:val="00A77870"/>
    <w:rsid w:val="00A77B5C"/>
    <w:rsid w:val="00A8539D"/>
    <w:rsid w:val="00AA1758"/>
    <w:rsid w:val="00AE2B6D"/>
    <w:rsid w:val="00AE5353"/>
    <w:rsid w:val="00B07246"/>
    <w:rsid w:val="00B134CB"/>
    <w:rsid w:val="00B3651C"/>
    <w:rsid w:val="00B447BA"/>
    <w:rsid w:val="00B57969"/>
    <w:rsid w:val="00B6566D"/>
    <w:rsid w:val="00B74CA5"/>
    <w:rsid w:val="00B75171"/>
    <w:rsid w:val="00B90840"/>
    <w:rsid w:val="00C14378"/>
    <w:rsid w:val="00C54162"/>
    <w:rsid w:val="00CC491F"/>
    <w:rsid w:val="00D0668E"/>
    <w:rsid w:val="00D07B25"/>
    <w:rsid w:val="00D81B32"/>
    <w:rsid w:val="00DA5B01"/>
    <w:rsid w:val="00DB01A9"/>
    <w:rsid w:val="00DC58E4"/>
    <w:rsid w:val="00E02D21"/>
    <w:rsid w:val="00E24866"/>
    <w:rsid w:val="00E32E16"/>
    <w:rsid w:val="00E82CB4"/>
    <w:rsid w:val="00E94CCF"/>
    <w:rsid w:val="00E9672A"/>
    <w:rsid w:val="00EB3D03"/>
    <w:rsid w:val="00EC0D7C"/>
    <w:rsid w:val="00EE5D4A"/>
    <w:rsid w:val="00EE5D52"/>
    <w:rsid w:val="00EF59C9"/>
    <w:rsid w:val="00F22790"/>
    <w:rsid w:val="00FA0BF3"/>
    <w:rsid w:val="00FE1571"/>
    <w:rsid w:val="00FE2375"/>
    <w:rsid w:val="00FF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63C2E6-2487-48D3-AB28-0479851C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67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15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4CB"/>
  </w:style>
  <w:style w:type="paragraph" w:styleId="Footer">
    <w:name w:val="footer"/>
    <w:basedOn w:val="Normal"/>
    <w:link w:val="FooterChar"/>
    <w:uiPriority w:val="99"/>
    <w:unhideWhenUsed/>
    <w:rsid w:val="00B13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4CB"/>
  </w:style>
  <w:style w:type="paragraph" w:styleId="BalloonText">
    <w:name w:val="Balloon Text"/>
    <w:basedOn w:val="Normal"/>
    <w:link w:val="BalloonTextChar"/>
    <w:uiPriority w:val="99"/>
    <w:semiHidden/>
    <w:unhideWhenUsed/>
    <w:rsid w:val="009A3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9B0"/>
    <w:rPr>
      <w:rFonts w:ascii="Tahoma" w:hAnsi="Tahoma" w:cs="Tahoma"/>
      <w:sz w:val="16"/>
      <w:szCs w:val="16"/>
    </w:rPr>
  </w:style>
  <w:style w:type="paragraph" w:styleId="NoSpacing">
    <w:name w:val="No Spacing"/>
    <w:uiPriority w:val="1"/>
    <w:qFormat/>
    <w:rsid w:val="00EE5D4A"/>
    <w:pPr>
      <w:spacing w:after="0" w:line="240" w:lineRule="auto"/>
    </w:pPr>
  </w:style>
  <w:style w:type="table" w:styleId="TableGrid">
    <w:name w:val="Table Grid"/>
    <w:basedOn w:val="TableNormal"/>
    <w:uiPriority w:val="59"/>
    <w:rsid w:val="00EE5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E393A"/>
    <w:rPr>
      <w:sz w:val="16"/>
      <w:szCs w:val="16"/>
    </w:rPr>
  </w:style>
  <w:style w:type="paragraph" w:styleId="CommentText">
    <w:name w:val="annotation text"/>
    <w:basedOn w:val="Normal"/>
    <w:link w:val="CommentTextChar"/>
    <w:uiPriority w:val="99"/>
    <w:unhideWhenUsed/>
    <w:rsid w:val="006E393A"/>
    <w:pPr>
      <w:spacing w:line="240" w:lineRule="auto"/>
    </w:pPr>
    <w:rPr>
      <w:sz w:val="20"/>
      <w:szCs w:val="20"/>
    </w:rPr>
  </w:style>
  <w:style w:type="character" w:customStyle="1" w:styleId="CommentTextChar">
    <w:name w:val="Comment Text Char"/>
    <w:basedOn w:val="DefaultParagraphFont"/>
    <w:link w:val="CommentText"/>
    <w:uiPriority w:val="99"/>
    <w:rsid w:val="006E393A"/>
    <w:rPr>
      <w:sz w:val="20"/>
      <w:szCs w:val="20"/>
    </w:rPr>
  </w:style>
  <w:style w:type="paragraph" w:styleId="CommentSubject">
    <w:name w:val="annotation subject"/>
    <w:basedOn w:val="CommentText"/>
    <w:next w:val="CommentText"/>
    <w:link w:val="CommentSubjectChar"/>
    <w:uiPriority w:val="99"/>
    <w:semiHidden/>
    <w:unhideWhenUsed/>
    <w:rsid w:val="006E393A"/>
    <w:rPr>
      <w:b/>
      <w:bCs/>
    </w:rPr>
  </w:style>
  <w:style w:type="character" w:customStyle="1" w:styleId="CommentSubjectChar">
    <w:name w:val="Comment Subject Char"/>
    <w:basedOn w:val="CommentTextChar"/>
    <w:link w:val="CommentSubject"/>
    <w:uiPriority w:val="99"/>
    <w:semiHidden/>
    <w:rsid w:val="006E393A"/>
    <w:rPr>
      <w:b/>
      <w:bCs/>
      <w:sz w:val="20"/>
      <w:szCs w:val="20"/>
    </w:rPr>
  </w:style>
  <w:style w:type="paragraph" w:styleId="TOC2">
    <w:name w:val="toc 2"/>
    <w:basedOn w:val="Normal"/>
    <w:next w:val="Normal"/>
    <w:autoRedefine/>
    <w:uiPriority w:val="39"/>
    <w:unhideWhenUsed/>
    <w:rsid w:val="00621333"/>
    <w:pPr>
      <w:spacing w:after="100"/>
      <w:ind w:left="220"/>
    </w:pPr>
  </w:style>
  <w:style w:type="paragraph" w:styleId="ListParagraph">
    <w:name w:val="List Paragraph"/>
    <w:basedOn w:val="Normal"/>
    <w:uiPriority w:val="34"/>
    <w:qFormat/>
    <w:rsid w:val="00621333"/>
    <w:pPr>
      <w:ind w:left="720"/>
      <w:contextualSpacing/>
    </w:pPr>
  </w:style>
  <w:style w:type="character" w:styleId="Hyperlink">
    <w:name w:val="Hyperlink"/>
    <w:basedOn w:val="DefaultParagraphFont"/>
    <w:uiPriority w:val="99"/>
    <w:unhideWhenUsed/>
    <w:rsid w:val="00621333"/>
    <w:rPr>
      <w:color w:val="0000FF" w:themeColor="hyperlink"/>
      <w:u w:val="single"/>
    </w:rPr>
  </w:style>
  <w:style w:type="character" w:styleId="FollowedHyperlink">
    <w:name w:val="FollowedHyperlink"/>
    <w:basedOn w:val="DefaultParagraphFont"/>
    <w:uiPriority w:val="99"/>
    <w:semiHidden/>
    <w:unhideWhenUsed/>
    <w:rsid w:val="00621333"/>
    <w:rPr>
      <w:color w:val="800080" w:themeColor="followedHyperlink"/>
      <w:u w:val="single"/>
    </w:rPr>
  </w:style>
  <w:style w:type="character" w:customStyle="1" w:styleId="Heading2Char">
    <w:name w:val="Heading 2 Char"/>
    <w:basedOn w:val="DefaultParagraphFont"/>
    <w:link w:val="Heading2"/>
    <w:uiPriority w:val="9"/>
    <w:rsid w:val="003673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157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ncyclopaedia">
      <a:dk1>
        <a:sysClr val="windowText" lastClr="000000"/>
      </a:dk1>
      <a:lt1>
        <a:sysClr val="window" lastClr="FFFFFF"/>
      </a:lt1>
      <a:dk2>
        <a:srgbClr val="1F497D"/>
      </a:dk2>
      <a:lt2>
        <a:srgbClr val="EEECE1"/>
      </a:lt2>
      <a:accent1>
        <a:srgbClr val="4F81BD"/>
      </a:accent1>
      <a:accent2>
        <a:srgbClr val="DE0F0F"/>
      </a:accent2>
      <a:accent3>
        <a:srgbClr val="9BBB59"/>
      </a:accent3>
      <a:accent4>
        <a:srgbClr val="9182A0"/>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dc:creator>
  <cp:lastModifiedBy>adrian dooley</cp:lastModifiedBy>
  <cp:revision>4</cp:revision>
  <cp:lastPrinted>2013-11-06T15:48:00Z</cp:lastPrinted>
  <dcterms:created xsi:type="dcterms:W3CDTF">2014-05-21T09:59:00Z</dcterms:created>
  <dcterms:modified xsi:type="dcterms:W3CDTF">2014-05-21T10:15:00Z</dcterms:modified>
</cp:coreProperties>
</file>