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67385C" w:rsidTr="004572F2">
        <w:tc>
          <w:tcPr>
            <w:tcW w:w="2518" w:type="dxa"/>
          </w:tcPr>
          <w:p w:rsidR="00267B12" w:rsidRPr="0067385C" w:rsidRDefault="002B16BD" w:rsidP="0067385C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67385C">
              <w:rPr>
                <w:lang w:val="it-IT"/>
              </w:rPr>
              <w:t xml:space="preserve"> </w:t>
            </w:r>
            <w:r w:rsidR="0067385C" w:rsidRPr="0067385C">
              <w:rPr>
                <w:lang w:val="it-IT"/>
              </w:rPr>
              <w:t>Nome del Progetto</w:t>
            </w:r>
            <w:r w:rsidR="00267B12" w:rsidRPr="0067385C">
              <w:rPr>
                <w:lang w:val="it-IT"/>
              </w:rPr>
              <w:t>/Tranche/</w:t>
            </w:r>
            <w:r w:rsidR="0067385C">
              <w:rPr>
                <w:lang w:val="it-IT"/>
              </w:rPr>
              <w:t>Programma</w:t>
            </w:r>
          </w:p>
        </w:tc>
        <w:tc>
          <w:tcPr>
            <w:tcW w:w="6724" w:type="dxa"/>
            <w:gridSpan w:val="3"/>
          </w:tcPr>
          <w:p w:rsidR="00267B12" w:rsidRPr="0067385C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67385C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67385C">
            <w:pPr>
              <w:pStyle w:val="Titolo3"/>
              <w:outlineLvl w:val="2"/>
            </w:pPr>
            <w:proofErr w:type="spellStart"/>
            <w:r>
              <w:t>Aut</w:t>
            </w:r>
            <w:r w:rsidR="0067385C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67385C" w:rsidTr="004572F2">
        <w:tc>
          <w:tcPr>
            <w:tcW w:w="2518" w:type="dxa"/>
          </w:tcPr>
          <w:p w:rsidR="00267B12" w:rsidRPr="009C71F6" w:rsidRDefault="0067385C" w:rsidP="0067385C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67385C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67385C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67385C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67385C" w:rsidP="004572F2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67385C">
              <w:t>e</w:t>
            </w:r>
            <w:proofErr w:type="spellEnd"/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67385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78"/>
        <w:gridCol w:w="1834"/>
        <w:gridCol w:w="1859"/>
        <w:gridCol w:w="1909"/>
        <w:gridCol w:w="1936"/>
      </w:tblGrid>
      <w:tr w:rsidR="0067385C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67385C">
            <w:pPr>
              <w:jc w:val="center"/>
            </w:pPr>
            <w:r>
              <w:t>N</w:t>
            </w:r>
            <w:r w:rsidR="0067385C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67385C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67385C">
            <w:pPr>
              <w:jc w:val="center"/>
            </w:pPr>
            <w:r>
              <w:t>Dat</w:t>
            </w:r>
            <w:r w:rsidR="0067385C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67385C" w:rsidP="0067385C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67385C" w:rsidP="0067385C">
            <w:pPr>
              <w:jc w:val="center"/>
            </w:pPr>
            <w:r>
              <w:t>Firma</w:t>
            </w:r>
          </w:p>
        </w:tc>
      </w:tr>
      <w:tr w:rsidR="0067385C" w:rsidRPr="0067385C" w:rsidTr="004572F2">
        <w:tc>
          <w:tcPr>
            <w:tcW w:w="1526" w:type="dxa"/>
          </w:tcPr>
          <w:p w:rsidR="00FF2911" w:rsidRPr="009C71F6" w:rsidRDefault="00FF2911" w:rsidP="00FF2911"/>
        </w:tc>
        <w:tc>
          <w:tcPr>
            <w:tcW w:w="1890" w:type="dxa"/>
          </w:tcPr>
          <w:p w:rsidR="00FF2911" w:rsidRDefault="00FF2911" w:rsidP="00FF291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FF2911" w:rsidRDefault="00FF2911" w:rsidP="00FF291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FF2911" w:rsidRPr="0067385C" w:rsidRDefault="0067385C" w:rsidP="0067385C">
            <w:pPr>
              <w:spacing w:before="120" w:after="120"/>
              <w:rPr>
                <w:i/>
                <w:lang w:val="it-IT"/>
              </w:rPr>
            </w:pPr>
            <w:r w:rsidRPr="0067385C">
              <w:rPr>
                <w:i/>
                <w:lang w:val="it-IT"/>
              </w:rPr>
              <w:t>Questo document</w:t>
            </w:r>
            <w:r>
              <w:rPr>
                <w:i/>
                <w:lang w:val="it-IT"/>
              </w:rPr>
              <w:t>o</w:t>
            </w:r>
            <w:r w:rsidRPr="0067385C">
              <w:rPr>
                <w:i/>
                <w:lang w:val="it-IT"/>
              </w:rPr>
              <w:t>, insieme agli altri piani di gestione, dovrebbe essere approvato nell’ambito del processo di definizione</w:t>
            </w:r>
            <w:r w:rsidR="00FF2911" w:rsidRPr="0067385C">
              <w:rPr>
                <w:i/>
                <w:lang w:val="it-IT"/>
              </w:rPr>
              <w:t>.</w:t>
            </w:r>
          </w:p>
        </w:tc>
        <w:tc>
          <w:tcPr>
            <w:tcW w:w="1942" w:type="dxa"/>
          </w:tcPr>
          <w:p w:rsidR="00FF2911" w:rsidRPr="0067385C" w:rsidRDefault="0067385C" w:rsidP="00FF2911">
            <w:pPr>
              <w:spacing w:before="120" w:after="120"/>
              <w:rPr>
                <w:i/>
                <w:lang w:val="it-IT"/>
              </w:rPr>
            </w:pPr>
            <w:r w:rsidRPr="00412DDE">
              <w:rPr>
                <w:i/>
                <w:lang w:val="it-IT"/>
              </w:rPr>
              <w:t>La firma della persona che concede l’approvazione, di solito lo sponsor. Se lo sponsor non dà la sua approvazione, la colonna ‘contesto dell’approvazione’ dovrebbe spiegarne le ragioni</w:t>
            </w:r>
            <w:r>
              <w:rPr>
                <w:i/>
                <w:lang w:val="it-IT"/>
              </w:rPr>
              <w:t>.</w:t>
            </w:r>
          </w:p>
        </w:tc>
      </w:tr>
      <w:tr w:rsidR="0067385C" w:rsidRPr="0067385C" w:rsidTr="004572F2">
        <w:tc>
          <w:tcPr>
            <w:tcW w:w="1526" w:type="dxa"/>
          </w:tcPr>
          <w:p w:rsidR="00FF2911" w:rsidRPr="0067385C" w:rsidRDefault="00FF2911" w:rsidP="00FF2911">
            <w:pPr>
              <w:rPr>
                <w:lang w:val="it-IT"/>
              </w:rPr>
            </w:pPr>
          </w:p>
        </w:tc>
        <w:tc>
          <w:tcPr>
            <w:tcW w:w="1890" w:type="dxa"/>
          </w:tcPr>
          <w:p w:rsidR="00FF2911" w:rsidRPr="0067385C" w:rsidRDefault="00FF2911" w:rsidP="00FF291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FF2911" w:rsidRPr="0067385C" w:rsidRDefault="00FF2911" w:rsidP="00FF291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FF2911" w:rsidRPr="0067385C" w:rsidRDefault="00FF2911" w:rsidP="00FF291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FF2911" w:rsidRPr="0067385C" w:rsidRDefault="00FF2911" w:rsidP="00FF291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</w:tr>
    </w:tbl>
    <w:p w:rsidR="00267B12" w:rsidRPr="0067385C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it-IT"/>
        </w:rPr>
      </w:pPr>
    </w:p>
    <w:p w:rsidR="00267B12" w:rsidRPr="009C71F6" w:rsidRDefault="0067385C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8F5FB8" w:rsidP="008F5FB8">
            <w:pPr>
              <w:jc w:val="center"/>
            </w:pPr>
            <w:proofErr w:type="spellStart"/>
            <w:r>
              <w:t>Distribuito</w:t>
            </w:r>
            <w:proofErr w:type="spellEnd"/>
            <w:r>
              <w:t xml:space="preserve"> a</w:t>
            </w:r>
            <w:r w:rsidR="00267B12"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8F5FB8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8F5FB8">
            <w:pPr>
              <w:jc w:val="center"/>
            </w:pPr>
            <w:r>
              <w:t>Dat</w:t>
            </w:r>
            <w:r w:rsidR="008F5FB8">
              <w:t>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8F5FB8" w:rsidP="008F5FB8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Pr="008F5FB8" w:rsidRDefault="008F5FB8" w:rsidP="00D50D98">
      <w:pPr>
        <w:rPr>
          <w:i/>
          <w:lang w:val="it-IT"/>
        </w:rPr>
      </w:pPr>
      <w:r w:rsidRPr="008F5FB8">
        <w:rPr>
          <w:i/>
          <w:lang w:val="it-IT"/>
        </w:rPr>
        <w:lastRenderedPageBreak/>
        <w:t xml:space="preserve">Nei progetti che includono la gestione dei </w:t>
      </w:r>
      <w:proofErr w:type="spellStart"/>
      <w:r w:rsidRPr="008F5FB8">
        <w:rPr>
          <w:i/>
          <w:lang w:val="it-IT"/>
        </w:rPr>
        <w:t>benefice</w:t>
      </w:r>
      <w:proofErr w:type="spellEnd"/>
      <w:r w:rsidRPr="008F5FB8">
        <w:rPr>
          <w:i/>
          <w:lang w:val="it-IT"/>
        </w:rPr>
        <w:t xml:space="preserve"> (vale a dire un cambiamento non complesso), i contenuti di questo documento saranno probabilmente coperti dal piano di gestione dei benefici. </w:t>
      </w:r>
    </w:p>
    <w:p w:rsidR="00267B12" w:rsidRDefault="00383F87" w:rsidP="00267B12">
      <w:pPr>
        <w:pStyle w:val="Titolo2"/>
      </w:pPr>
      <w:proofErr w:type="spellStart"/>
      <w:r>
        <w:t>Poli</w:t>
      </w:r>
      <w:r w:rsidR="008F5FB8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858"/>
        <w:gridCol w:w="4048"/>
      </w:tblGrid>
      <w:tr w:rsidR="008F5FB8" w:rsidRPr="00C22BBB" w:rsidTr="00D50D98">
        <w:tc>
          <w:tcPr>
            <w:tcW w:w="5061" w:type="dxa"/>
          </w:tcPr>
          <w:p w:rsidR="00D50D98" w:rsidRDefault="00D50D98" w:rsidP="00D50D98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</w:t>
            </w:r>
            <w:r w:rsidR="008F5FB8">
              <w:t>ntroduzione</w:t>
            </w:r>
            <w:proofErr w:type="spellEnd"/>
          </w:p>
          <w:p w:rsidR="00D50D98" w:rsidRPr="009D282C" w:rsidRDefault="00D50D98" w:rsidP="00D50D98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C22BBB" w:rsidRDefault="00C22BBB" w:rsidP="00C22BBB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 xml:space="preserve">La procedura generica di </w:t>
            </w:r>
            <w:hyperlink r:id="rId7" w:history="1">
              <w:r w:rsidRPr="00C22BBB">
                <w:rPr>
                  <w:rStyle w:val="Collegamentoipertestuale"/>
                  <w:color w:val="auto"/>
                  <w:u w:val="none"/>
                  <w:lang w:val="it-IT"/>
                </w:rPr>
                <w:t>gestione del cambiamento</w:t>
              </w:r>
            </w:hyperlink>
            <w:r w:rsidRPr="00C22BBB">
              <w:rPr>
                <w:lang w:val="it-IT"/>
              </w:rPr>
              <w:t xml:space="preserve"> dovrà essere adattata al contest</w:t>
            </w:r>
            <w:r>
              <w:rPr>
                <w:lang w:val="it-IT"/>
              </w:rPr>
              <w:t>o</w:t>
            </w:r>
            <w:r w:rsidRPr="00C22BBB">
              <w:rPr>
                <w:lang w:val="it-IT"/>
              </w:rPr>
              <w:t xml:space="preserve"> del lavoro. Si possono utilizzare vari modelli di cambiamento, che utilizzano tecniche diverse. </w:t>
            </w:r>
          </w:p>
          <w:p w:rsidR="00D50D98" w:rsidRPr="00C22BBB" w:rsidRDefault="00C22BBB" w:rsidP="00C22BBB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>Questa sezione deve definire il contest</w:t>
            </w:r>
            <w:r>
              <w:rPr>
                <w:lang w:val="it-IT"/>
              </w:rPr>
              <w:t>o</w:t>
            </w:r>
            <w:r w:rsidRPr="00C22BBB">
              <w:rPr>
                <w:lang w:val="it-IT"/>
              </w:rPr>
              <w:t>, descrivere la procedura e illustrare le tecniche preferite.</w:t>
            </w:r>
          </w:p>
        </w:tc>
      </w:tr>
      <w:tr w:rsidR="008F5FB8" w:rsidRPr="00C22BBB" w:rsidTr="00D50D98">
        <w:tc>
          <w:tcPr>
            <w:tcW w:w="5061" w:type="dxa"/>
          </w:tcPr>
          <w:p w:rsidR="00D50D98" w:rsidRDefault="00D50D98" w:rsidP="00D50D98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R</w:t>
            </w:r>
            <w:r w:rsidR="008F5FB8">
              <w:t>uoli</w:t>
            </w:r>
            <w:proofErr w:type="spellEnd"/>
            <w:r w:rsidR="008F5FB8">
              <w:t xml:space="preserve"> e </w:t>
            </w:r>
            <w:proofErr w:type="spellStart"/>
            <w:r w:rsidR="008F5FB8">
              <w:t>responsabilità</w:t>
            </w:r>
            <w:proofErr w:type="spellEnd"/>
          </w:p>
          <w:p w:rsidR="00D50D98" w:rsidRPr="00A57AA4" w:rsidRDefault="00D50D98" w:rsidP="00D50D98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D50D98" w:rsidRPr="00C22BBB" w:rsidRDefault="00C22BBB" w:rsidP="00D50D98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>La gestione del cambiamento comprenderà persone dell’organizzazione di progetto, programma o portfolio e persone che lavorano alle attività ordinarie. Questa sezione definirà e responsabilità di tutti coloro che sono coinvolti.</w:t>
            </w:r>
          </w:p>
        </w:tc>
      </w:tr>
      <w:tr w:rsidR="008F5FB8" w:rsidRPr="00C22BBB" w:rsidTr="00D50D98">
        <w:tc>
          <w:tcPr>
            <w:tcW w:w="5061" w:type="dxa"/>
          </w:tcPr>
          <w:p w:rsidR="00D50D98" w:rsidRDefault="008F5FB8" w:rsidP="00D50D98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D50D98" w:rsidRPr="00A57AA4" w:rsidRDefault="00D50D98" w:rsidP="00D50D98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D50D98" w:rsidRPr="00C22BBB" w:rsidRDefault="00C22BBB" w:rsidP="00D50D98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>Una comunicazione efficace è fondamentale per superare la resistenza al cambiamento. Questa sezione dovrà spiegare come utilizzare la gestione delle informazioni per preparare e diffondere</w:t>
            </w:r>
            <w:r>
              <w:rPr>
                <w:lang w:val="it-IT"/>
              </w:rPr>
              <w:t xml:space="preserve"> tutti i tipi di comunicazione.</w:t>
            </w:r>
            <w:r w:rsidRPr="00C22BBB">
              <w:rPr>
                <w:lang w:val="it-IT"/>
              </w:rPr>
              <w:t xml:space="preserve"> </w:t>
            </w:r>
          </w:p>
        </w:tc>
      </w:tr>
      <w:tr w:rsidR="008F5FB8" w:rsidRPr="00C22BBB" w:rsidTr="00D50D98">
        <w:trPr>
          <w:cantSplit/>
        </w:trPr>
        <w:tc>
          <w:tcPr>
            <w:tcW w:w="5061" w:type="dxa"/>
          </w:tcPr>
          <w:p w:rsidR="00D50D98" w:rsidRDefault="008F5FB8" w:rsidP="00D50D98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Garanzia</w:t>
            </w:r>
            <w:proofErr w:type="spellEnd"/>
          </w:p>
          <w:p w:rsidR="00D50D98" w:rsidRPr="009060CE" w:rsidRDefault="00D50D98" w:rsidP="00D50D98">
            <w:pPr>
              <w:pStyle w:val="Nessunaspaziatura"/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D50D98" w:rsidRPr="00C22BBB" w:rsidRDefault="00C22BBB" w:rsidP="00C22BBB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 xml:space="preserve">In questa sezione saranno descritti i criteri per una gestione del cambiamento di successo da utilizzare in </w:t>
            </w:r>
            <w:r>
              <w:rPr>
                <w:lang w:val="it-IT"/>
              </w:rPr>
              <w:t>tutte le revisioni di garanzia.</w:t>
            </w:r>
          </w:p>
        </w:tc>
      </w:tr>
      <w:tr w:rsidR="008F5FB8" w:rsidRPr="00C22BBB" w:rsidTr="00D50D98">
        <w:trPr>
          <w:cantSplit/>
        </w:trPr>
        <w:tc>
          <w:tcPr>
            <w:tcW w:w="5061" w:type="dxa"/>
          </w:tcPr>
          <w:p w:rsidR="00D50D98" w:rsidRDefault="00D50D98" w:rsidP="00D50D98">
            <w:pPr>
              <w:pStyle w:val="Titolo3"/>
              <w:keepNext w:val="0"/>
              <w:spacing w:before="120"/>
              <w:outlineLvl w:val="2"/>
            </w:pPr>
            <w:r>
              <w:lastRenderedPageBreak/>
              <w:t>Budget</w:t>
            </w:r>
          </w:p>
          <w:p w:rsidR="00D50D98" w:rsidRPr="00383F87" w:rsidRDefault="00D50D98" w:rsidP="00D50D98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C22BBB" w:rsidRPr="00C22BBB" w:rsidRDefault="00C22BBB" w:rsidP="00C22BBB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 xml:space="preserve">Questa sezione dovrà definire i budget per la gestione del cambiamento contenuti all’interno del budget complessivo del progetto, programma o portfolio. </w:t>
            </w:r>
          </w:p>
          <w:p w:rsidR="00D50D98" w:rsidRPr="00C22BBB" w:rsidRDefault="00C22BBB" w:rsidP="00C22BBB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 xml:space="preserve">Ci saranno dei budget anche nell’ambito delle attività ordinarie che non sono inclusi in questa sede. Si dovrebbe quindi procedere alla loro individuazione in modo che i membri del team di gestione del progetto, programma o portfolio possano accertare l’avvenuta predisposizione di tutti i budget necessari. Deve inoltre essere chiaro quali voci di spesa sono coperte dal progetto, programma o portfolio e quali dalle attività ordinarie per evitare il </w:t>
            </w:r>
            <w:proofErr w:type="spellStart"/>
            <w:r w:rsidRPr="00C22BBB">
              <w:rPr>
                <w:lang w:val="it-IT"/>
              </w:rPr>
              <w:t>sottofinanziamento</w:t>
            </w:r>
            <w:proofErr w:type="spellEnd"/>
            <w:r w:rsidRPr="00C22BBB">
              <w:rPr>
                <w:lang w:val="it-IT"/>
              </w:rPr>
              <w:t xml:space="preserve"> di qualche aspetto del lavoro.</w:t>
            </w:r>
          </w:p>
        </w:tc>
      </w:tr>
      <w:tr w:rsidR="008F5FB8" w:rsidRPr="00C22BBB" w:rsidTr="00D50D98">
        <w:trPr>
          <w:cantSplit/>
        </w:trPr>
        <w:tc>
          <w:tcPr>
            <w:tcW w:w="5061" w:type="dxa"/>
          </w:tcPr>
          <w:p w:rsidR="00D50D98" w:rsidRDefault="00D50D98" w:rsidP="00D50D98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Interfa</w:t>
            </w:r>
            <w:r w:rsidR="008F5FB8">
              <w:t>cce</w:t>
            </w:r>
            <w:proofErr w:type="spellEnd"/>
          </w:p>
          <w:p w:rsidR="00D50D98" w:rsidRPr="00383F87" w:rsidRDefault="00D50D98" w:rsidP="00D50D98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D50D98" w:rsidRPr="00C22BBB" w:rsidRDefault="00C22BBB" w:rsidP="00D50D98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>Il modo in cui deve essere gestito il cambiamento può impattare sulla schedulazione del progetto, programma o portfolio, sui registri dei rischi, sui piani delle comunicazioni e su molte altre aree. In questa sede dovrebbe essere spiegato come gestire questi riferimenti incrociati.</w:t>
            </w:r>
          </w:p>
        </w:tc>
      </w:tr>
    </w:tbl>
    <w:p w:rsidR="00267B12" w:rsidRPr="00C22BBB" w:rsidRDefault="00267B12" w:rsidP="00267B12">
      <w:pPr>
        <w:pStyle w:val="Nessunaspaziatura"/>
        <w:rPr>
          <w:lang w:val="it-IT"/>
        </w:rPr>
      </w:pPr>
    </w:p>
    <w:p w:rsidR="00267B12" w:rsidRDefault="008F5FB8" w:rsidP="00267B12">
      <w:pPr>
        <w:pStyle w:val="Titolo2"/>
      </w:pPr>
      <w:proofErr w:type="spellStart"/>
      <w:r>
        <w:t>Procedura</w:t>
      </w:r>
      <w:proofErr w:type="spellEnd"/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728"/>
        <w:gridCol w:w="4178"/>
      </w:tblGrid>
      <w:tr w:rsidR="00D50D98" w:rsidRPr="00C22BBB" w:rsidTr="006B4738">
        <w:trPr>
          <w:cantSplit/>
        </w:trPr>
        <w:tc>
          <w:tcPr>
            <w:tcW w:w="4922" w:type="dxa"/>
          </w:tcPr>
          <w:p w:rsidR="00D50D98" w:rsidRDefault="008F5FB8" w:rsidP="006B4738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Valutare</w:t>
            </w:r>
            <w:proofErr w:type="spellEnd"/>
          </w:p>
          <w:p w:rsidR="00D50D98" w:rsidRPr="00217FBC" w:rsidRDefault="00D50D98" w:rsidP="006B4738">
            <w:pPr>
              <w:keepLines/>
              <w:spacing w:before="120"/>
            </w:pPr>
          </w:p>
        </w:tc>
        <w:tc>
          <w:tcPr>
            <w:tcW w:w="4320" w:type="dxa"/>
            <w:shd w:val="clear" w:color="auto" w:fill="D6E3BC" w:themeFill="accent3" w:themeFillTint="66"/>
          </w:tcPr>
          <w:p w:rsidR="00D50D98" w:rsidRPr="00C22BBB" w:rsidRDefault="00C22BBB" w:rsidP="006B4738">
            <w:pPr>
              <w:keepLines/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>In questa sede sono descritti i meccanismi preferiti per valutare la natura dell’organizzazione e la sua prontezza al cambiamento, nonché le tecniche per l’implementazione del cambiamento.</w:t>
            </w:r>
          </w:p>
        </w:tc>
      </w:tr>
      <w:tr w:rsidR="00D50D98" w:rsidRPr="00C22BBB" w:rsidTr="006B4738">
        <w:trPr>
          <w:cantSplit/>
        </w:trPr>
        <w:tc>
          <w:tcPr>
            <w:tcW w:w="4922" w:type="dxa"/>
          </w:tcPr>
          <w:p w:rsidR="00D50D98" w:rsidRDefault="00D50D98" w:rsidP="00D50D98">
            <w:pPr>
              <w:pStyle w:val="Titolo3"/>
              <w:spacing w:before="120"/>
              <w:outlineLvl w:val="2"/>
            </w:pPr>
            <w:proofErr w:type="spellStart"/>
            <w:r>
              <w:lastRenderedPageBreak/>
              <w:t>Prepar</w:t>
            </w:r>
            <w:r w:rsidR="008F5FB8">
              <w:t>are</w:t>
            </w:r>
            <w:proofErr w:type="spellEnd"/>
          </w:p>
          <w:p w:rsidR="00D50D98" w:rsidRPr="007F67E6" w:rsidRDefault="00D50D98" w:rsidP="00D50D98">
            <w:pPr>
              <w:spacing w:before="120"/>
            </w:pPr>
          </w:p>
        </w:tc>
        <w:tc>
          <w:tcPr>
            <w:tcW w:w="4320" w:type="dxa"/>
            <w:shd w:val="clear" w:color="auto" w:fill="D6E3BC" w:themeFill="accent3" w:themeFillTint="66"/>
          </w:tcPr>
          <w:p w:rsidR="00C22BBB" w:rsidRDefault="00C22BBB" w:rsidP="006B4738">
            <w:pPr>
              <w:spacing w:before="120" w:after="120"/>
              <w:rPr>
                <w:lang w:val="it-IT"/>
              </w:rPr>
            </w:pPr>
            <w:r w:rsidRPr="00C22BBB">
              <w:rPr>
                <w:lang w:val="it-IT"/>
              </w:rPr>
              <w:t>Questa sezione del piano di gestione del cambiamento deve essere attentamente integrate con la gestione degli stakeholder e con le comunicazioni. Essa descriverà come il team di gestione deve generare il supporto al cambiamento, abbattere le barriere e migliorare la disponibilità dell'organizzazione al cambiamento</w:t>
            </w:r>
            <w:r>
              <w:rPr>
                <w:lang w:val="it-IT"/>
              </w:rPr>
              <w:t>.</w:t>
            </w:r>
          </w:p>
          <w:p w:rsidR="006B4738" w:rsidRPr="00C22BBB" w:rsidRDefault="00C22BBB" w:rsidP="006B4738">
            <w:pPr>
              <w:spacing w:after="120"/>
              <w:rPr>
                <w:lang w:val="it-IT"/>
              </w:rPr>
            </w:pPr>
            <w:r w:rsidRPr="00C22BBB">
              <w:rPr>
                <w:lang w:val="it-IT"/>
              </w:rPr>
              <w:t xml:space="preserve">A livello di progetto il piano può concentrarsi su un cambiamento relativamente limitato. A livello di programma o di portfolio il piano deve tenere conto degli effetti del cambiamento cumulativo e dei diversi tipi di cambiamento implementati da vari progetti con riferimento ad una stessa singola area delle attività ordinarie. </w:t>
            </w:r>
          </w:p>
        </w:tc>
      </w:tr>
      <w:tr w:rsidR="00D50D98" w:rsidRPr="002A620D" w:rsidTr="006B4738">
        <w:trPr>
          <w:cantSplit/>
        </w:trPr>
        <w:tc>
          <w:tcPr>
            <w:tcW w:w="4922" w:type="dxa"/>
          </w:tcPr>
          <w:p w:rsidR="00D50D98" w:rsidRDefault="00D50D98" w:rsidP="00D50D98">
            <w:pPr>
              <w:pStyle w:val="Titolo3"/>
              <w:spacing w:before="120"/>
              <w:outlineLvl w:val="2"/>
            </w:pPr>
            <w:proofErr w:type="spellStart"/>
            <w:r>
              <w:t>Implement</w:t>
            </w:r>
            <w:r w:rsidR="008F5FB8">
              <w:t>are</w:t>
            </w:r>
            <w:proofErr w:type="spellEnd"/>
          </w:p>
          <w:p w:rsidR="00D50D98" w:rsidRPr="007F67E6" w:rsidRDefault="00D50D98" w:rsidP="00D50D98">
            <w:pPr>
              <w:spacing w:before="120"/>
            </w:pPr>
          </w:p>
        </w:tc>
        <w:tc>
          <w:tcPr>
            <w:tcW w:w="4320" w:type="dxa"/>
            <w:shd w:val="clear" w:color="auto" w:fill="D6E3BC" w:themeFill="accent3" w:themeFillTint="66"/>
          </w:tcPr>
          <w:p w:rsidR="00D50D98" w:rsidRPr="002A620D" w:rsidRDefault="002A620D" w:rsidP="006B4738">
            <w:pPr>
              <w:spacing w:before="120" w:after="120"/>
              <w:rPr>
                <w:lang w:val="it-IT"/>
              </w:rPr>
            </w:pPr>
            <w:r w:rsidRPr="002A620D">
              <w:rPr>
                <w:lang w:val="it-IT"/>
              </w:rPr>
              <w:t>Questa sezione descrive come dovrebbe essere gestito il cambiamento. Comprenderà riferimenti alla gestione degli stakeholder e alle comunicazioni durante il periodo di cambiamento. Può inoltre descrivere o contenere un collegamento alla politica aziendale riguardo ad aree quali la ridondanza, il trasferimento, l’assunzione, ecc</w:t>
            </w:r>
            <w:r>
              <w:rPr>
                <w:lang w:val="it-IT"/>
              </w:rPr>
              <w:t>.</w:t>
            </w:r>
          </w:p>
        </w:tc>
      </w:tr>
      <w:tr w:rsidR="00D50D98" w:rsidTr="006B4738">
        <w:trPr>
          <w:cantSplit/>
        </w:trPr>
        <w:tc>
          <w:tcPr>
            <w:tcW w:w="4922" w:type="dxa"/>
          </w:tcPr>
          <w:p w:rsidR="00D50D98" w:rsidRDefault="002A620D" w:rsidP="00D50D98">
            <w:pPr>
              <w:pStyle w:val="Titolo3"/>
              <w:spacing w:before="120"/>
              <w:outlineLvl w:val="2"/>
            </w:pPr>
            <w:proofErr w:type="spellStart"/>
            <w:r>
              <w:t>Sostenere</w:t>
            </w:r>
            <w:proofErr w:type="spellEnd"/>
          </w:p>
          <w:p w:rsidR="00D50D98" w:rsidRPr="007F67E6" w:rsidRDefault="00D50D98" w:rsidP="00D50D98">
            <w:pPr>
              <w:spacing w:before="120"/>
            </w:pPr>
          </w:p>
        </w:tc>
        <w:tc>
          <w:tcPr>
            <w:tcW w:w="4320" w:type="dxa"/>
            <w:shd w:val="clear" w:color="auto" w:fill="D6E3BC" w:themeFill="accent3" w:themeFillTint="66"/>
          </w:tcPr>
          <w:p w:rsidR="00D50D98" w:rsidRDefault="002A620D" w:rsidP="002A620D">
            <w:pPr>
              <w:spacing w:before="120" w:after="120"/>
            </w:pPr>
            <w:bookmarkStart w:id="0" w:name="_GoBack"/>
            <w:bookmarkEnd w:id="0"/>
            <w:r w:rsidRPr="002A620D">
              <w:rPr>
                <w:lang w:val="it-IT"/>
              </w:rPr>
              <w:t>Per far sì che i benefici si realizzi</w:t>
            </w:r>
            <w:r>
              <w:rPr>
                <w:lang w:val="it-IT"/>
              </w:rPr>
              <w:t xml:space="preserve">no continuamente, il cambiamento </w:t>
            </w:r>
            <w:r w:rsidRPr="002A620D">
              <w:rPr>
                <w:lang w:val="it-IT"/>
              </w:rPr>
              <w:t>deve essere incorporato. Questa sezione descriverà le azioni correnti volte a supportare l'organizzazione dopo il cambiamento, fino al momento in cui i cambiamenti cessano di essere considerati come tali e sono accettati come il modo normale di operare.</w:t>
            </w:r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8"/>
      <w:footerReference w:type="default" r:id="rId9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B9" w:rsidRDefault="00E768B9" w:rsidP="00B134CB">
      <w:pPr>
        <w:spacing w:after="0" w:line="240" w:lineRule="auto"/>
      </w:pPr>
      <w:r>
        <w:separator/>
      </w:r>
    </w:p>
  </w:endnote>
  <w:endnote w:type="continuationSeparator" w:id="0">
    <w:p w:rsidR="00E768B9" w:rsidRDefault="00E768B9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67385C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85C" w:rsidRPr="0067385C">
      <w:rPr>
        <w:sz w:val="18"/>
        <w:szCs w:val="18"/>
        <w:lang w:val="it-IT"/>
      </w:rPr>
      <w:t xml:space="preserve">Template fornito da </w:t>
    </w:r>
    <w:r w:rsidR="00620548" w:rsidRPr="0067385C">
      <w:rPr>
        <w:sz w:val="18"/>
        <w:szCs w:val="18"/>
        <w:lang w:val="it-IT"/>
      </w:rPr>
      <w:t>Praxis Framework Ltd</w:t>
    </w:r>
    <w:r w:rsidR="00620548" w:rsidRPr="0067385C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B9" w:rsidRDefault="00E768B9" w:rsidP="00B134CB">
      <w:pPr>
        <w:spacing w:after="0" w:line="240" w:lineRule="auto"/>
      </w:pPr>
      <w:r>
        <w:separator/>
      </w:r>
    </w:p>
  </w:footnote>
  <w:footnote w:type="continuationSeparator" w:id="0">
    <w:p w:rsidR="00E768B9" w:rsidRDefault="00E768B9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9F0359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587FE45A" wp14:editId="3D6828D0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67385C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del </w:t>
    </w:r>
    <w:proofErr w:type="spellStart"/>
    <w:r>
      <w:rPr>
        <w:sz w:val="44"/>
      </w:rPr>
      <w:t>cambiamento</w:t>
    </w:r>
    <w:proofErr w:type="spellEnd"/>
  </w:p>
  <w:p w:rsidR="009F0359" w:rsidRDefault="009F0359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17FBC"/>
    <w:rsid w:val="0023548B"/>
    <w:rsid w:val="00235535"/>
    <w:rsid w:val="00246B2B"/>
    <w:rsid w:val="00267B12"/>
    <w:rsid w:val="002A620D"/>
    <w:rsid w:val="002B16BD"/>
    <w:rsid w:val="002B5476"/>
    <w:rsid w:val="002C1003"/>
    <w:rsid w:val="002D3217"/>
    <w:rsid w:val="00300773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61307"/>
    <w:rsid w:val="0067385C"/>
    <w:rsid w:val="006A609B"/>
    <w:rsid w:val="006B4738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8F5FB8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9F0359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22BBB"/>
    <w:rsid w:val="00C54162"/>
    <w:rsid w:val="00C60D4D"/>
    <w:rsid w:val="00C77112"/>
    <w:rsid w:val="00CC491F"/>
    <w:rsid w:val="00D0668E"/>
    <w:rsid w:val="00D07B25"/>
    <w:rsid w:val="00D50D98"/>
    <w:rsid w:val="00D66A5F"/>
    <w:rsid w:val="00D81B32"/>
    <w:rsid w:val="00DA5B01"/>
    <w:rsid w:val="00DB01A9"/>
    <w:rsid w:val="00DC58E4"/>
    <w:rsid w:val="00E02D21"/>
    <w:rsid w:val="00E24866"/>
    <w:rsid w:val="00E32E16"/>
    <w:rsid w:val="00E37F1D"/>
    <w:rsid w:val="00E768B9"/>
    <w:rsid w:val="00E9672A"/>
    <w:rsid w:val="00EB3D03"/>
    <w:rsid w:val="00EC0D7C"/>
    <w:rsid w:val="00ED0999"/>
    <w:rsid w:val="00EE5D4A"/>
    <w:rsid w:val="00EF59C9"/>
    <w:rsid w:val="00FA0BF3"/>
    <w:rsid w:val="00FE1571"/>
    <w:rsid w:val="00FE2375"/>
    <w:rsid w:val="00FF291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xisframework.org/knowledge/change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2016-06-20T14:02:00Z</dcterms:created>
  <dcterms:modified xsi:type="dcterms:W3CDTF">2016-06-20T14:20:00Z</dcterms:modified>
</cp:coreProperties>
</file>