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2706"/>
        <w:gridCol w:w="1577"/>
        <w:gridCol w:w="1377"/>
      </w:tblGrid>
      <w:tr w:rsidR="00267B12" w:rsidRPr="00B54900" w:rsidTr="004572F2">
        <w:tc>
          <w:tcPr>
            <w:tcW w:w="2518" w:type="dxa"/>
          </w:tcPr>
          <w:p w:rsidR="00267B12" w:rsidRPr="00B54900" w:rsidRDefault="00B54900" w:rsidP="00B54900">
            <w:pPr>
              <w:pStyle w:val="Titolo3"/>
              <w:spacing w:after="120"/>
              <w:outlineLvl w:val="2"/>
              <w:rPr>
                <w:lang w:val="it-IT"/>
              </w:rPr>
            </w:pPr>
            <w:r w:rsidRPr="00B54900">
              <w:rPr>
                <w:lang w:val="it-IT"/>
              </w:rPr>
              <w:t>Nome del Progetto</w:t>
            </w:r>
            <w:r w:rsidR="00267B12" w:rsidRPr="00B54900">
              <w:rPr>
                <w:lang w:val="it-IT"/>
              </w:rPr>
              <w:t>/Tranche/</w:t>
            </w:r>
            <w:r w:rsidRPr="00B54900">
              <w:rPr>
                <w:lang w:val="it-IT"/>
              </w:rPr>
              <w:t>Programma</w:t>
            </w:r>
          </w:p>
        </w:tc>
        <w:tc>
          <w:tcPr>
            <w:tcW w:w="6724" w:type="dxa"/>
            <w:gridSpan w:val="3"/>
          </w:tcPr>
          <w:p w:rsidR="00267B12" w:rsidRPr="00B54900" w:rsidRDefault="00267B12" w:rsidP="004572F2">
            <w:pPr>
              <w:spacing w:before="200"/>
              <w:rPr>
                <w:i/>
                <w:lang w:val="it-IT"/>
              </w:rPr>
            </w:pPr>
          </w:p>
        </w:tc>
      </w:tr>
      <w:tr w:rsidR="00267B12" w:rsidTr="004572F2">
        <w:tc>
          <w:tcPr>
            <w:tcW w:w="2518" w:type="dxa"/>
          </w:tcPr>
          <w:p w:rsidR="00267B12" w:rsidRPr="009C71F6" w:rsidRDefault="00B54900" w:rsidP="004572F2">
            <w:pPr>
              <w:pStyle w:val="Titolo3"/>
              <w:outlineLvl w:val="2"/>
            </w:pPr>
            <w:r>
              <w:t>Data</w:t>
            </w:r>
            <w:r w:rsidR="00267B12" w:rsidRPr="009C71F6">
              <w:t>:</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B54900" w:rsidP="00B54900">
            <w:pPr>
              <w:pStyle w:val="Titolo3"/>
              <w:outlineLvl w:val="2"/>
            </w:pPr>
            <w:proofErr w:type="spellStart"/>
            <w:r>
              <w:t>Autore</w:t>
            </w:r>
            <w:proofErr w:type="spellEnd"/>
            <w:r w:rsidR="00267B12">
              <w:t>:</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B54900" w:rsidTr="004572F2">
        <w:tc>
          <w:tcPr>
            <w:tcW w:w="2518" w:type="dxa"/>
          </w:tcPr>
          <w:p w:rsidR="00267B12" w:rsidRPr="009C71F6" w:rsidRDefault="00B54900" w:rsidP="00B54900">
            <w:pPr>
              <w:pStyle w:val="Titolo3"/>
              <w:outlineLvl w:val="2"/>
            </w:pPr>
            <w:proofErr w:type="spellStart"/>
            <w:r>
              <w:t>Riferimento</w:t>
            </w:r>
            <w:proofErr w:type="spellEnd"/>
            <w:r>
              <w:t xml:space="preserve"> del </w:t>
            </w:r>
            <w:proofErr w:type="spellStart"/>
            <w:r>
              <w:t>documento</w:t>
            </w:r>
            <w:proofErr w:type="spellEnd"/>
            <w:r w:rsidR="00267B12">
              <w:t>:</w:t>
            </w:r>
          </w:p>
        </w:tc>
        <w:tc>
          <w:tcPr>
            <w:tcW w:w="3362"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c>
          <w:tcPr>
            <w:tcW w:w="1681" w:type="dxa"/>
          </w:tcPr>
          <w:p w:rsidR="00267B12" w:rsidRDefault="00267B12" w:rsidP="004572F2">
            <w:pPr>
              <w:pStyle w:val="Titolo3"/>
              <w:outlineLvl w:val="2"/>
            </w:pPr>
            <w:proofErr w:type="spellStart"/>
            <w:r>
              <w:t>Version</w:t>
            </w:r>
            <w:r w:rsidR="00B54900">
              <w:t>e</w:t>
            </w:r>
            <w:proofErr w:type="spellEnd"/>
            <w:r>
              <w:t>:</w:t>
            </w:r>
          </w:p>
        </w:tc>
        <w:tc>
          <w:tcPr>
            <w:tcW w:w="1681"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bl>
    <w:p w:rsidR="00267B12" w:rsidRDefault="00267B12" w:rsidP="00267B12"/>
    <w:p w:rsidR="00267B12" w:rsidRDefault="00B54900" w:rsidP="00267B12">
      <w:pPr>
        <w:pStyle w:val="Titolo2"/>
      </w:pPr>
      <w:proofErr w:type="spellStart"/>
      <w:r>
        <w:t>Cronologia</w:t>
      </w:r>
      <w:proofErr w:type="spellEnd"/>
      <w:r>
        <w:t xml:space="preserve"> delle </w:t>
      </w:r>
      <w:proofErr w:type="spellStart"/>
      <w:r>
        <w:t>Revisioni</w:t>
      </w:r>
      <w:proofErr w:type="spellEnd"/>
    </w:p>
    <w:p w:rsidR="00267B12" w:rsidRPr="009060CE" w:rsidRDefault="00267B12" w:rsidP="00267B12">
      <w:pPr>
        <w:pStyle w:val="Nessunaspaziatura"/>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95"/>
        <w:gridCol w:w="5648"/>
        <w:gridCol w:w="1873"/>
      </w:tblGrid>
      <w:tr w:rsidR="00B54900" w:rsidTr="004572F2">
        <w:tc>
          <w:tcPr>
            <w:tcW w:w="1526" w:type="dxa"/>
            <w:shd w:val="clear" w:color="auto" w:fill="F2F2F2" w:themeFill="background1" w:themeFillShade="F2"/>
          </w:tcPr>
          <w:p w:rsidR="00267B12" w:rsidRPr="009C71F6" w:rsidRDefault="00B54900" w:rsidP="004572F2">
            <w:pPr>
              <w:jc w:val="center"/>
            </w:pPr>
            <w:r>
              <w:t>Data</w:t>
            </w:r>
          </w:p>
        </w:tc>
        <w:tc>
          <w:tcPr>
            <w:tcW w:w="5812" w:type="dxa"/>
            <w:shd w:val="clear" w:color="auto" w:fill="F2F2F2" w:themeFill="background1" w:themeFillShade="F2"/>
          </w:tcPr>
          <w:p w:rsidR="00267B12" w:rsidRDefault="00B54900" w:rsidP="00B54900">
            <w:pPr>
              <w:jc w:val="center"/>
            </w:pPr>
            <w:proofErr w:type="spellStart"/>
            <w:r>
              <w:t>Riepilogo</w:t>
            </w:r>
            <w:proofErr w:type="spellEnd"/>
            <w:r>
              <w:t xml:space="preserve"> delle </w:t>
            </w:r>
            <w:proofErr w:type="spellStart"/>
            <w:r>
              <w:t>modifiche</w:t>
            </w:r>
            <w:proofErr w:type="spellEnd"/>
          </w:p>
        </w:tc>
        <w:tc>
          <w:tcPr>
            <w:tcW w:w="1904" w:type="dxa"/>
            <w:shd w:val="clear" w:color="auto" w:fill="F2F2F2" w:themeFill="background1" w:themeFillShade="F2"/>
          </w:tcPr>
          <w:p w:rsidR="00267B12" w:rsidRDefault="00267B12" w:rsidP="004572F2">
            <w:pPr>
              <w:jc w:val="center"/>
            </w:pPr>
            <w:proofErr w:type="spellStart"/>
            <w:r>
              <w:t>Version</w:t>
            </w:r>
            <w:r w:rsidR="00B54900">
              <w:t>e</w:t>
            </w:r>
            <w:proofErr w:type="spellEnd"/>
          </w:p>
        </w:tc>
      </w:tr>
      <w:tr w:rsidR="00B54900"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r w:rsidR="00B54900"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Default="00267B12" w:rsidP="00267B12">
      <w:pPr>
        <w:spacing w:afterLines="120" w:after="288"/>
        <w:rPr>
          <w:rFonts w:asciiTheme="majorHAnsi" w:eastAsiaTheme="majorEastAsia" w:hAnsiTheme="majorHAnsi" w:cstheme="majorBidi"/>
          <w:b/>
          <w:bCs/>
          <w:color w:val="4F81BD" w:themeColor="accent1"/>
          <w:sz w:val="26"/>
          <w:szCs w:val="26"/>
        </w:rPr>
      </w:pPr>
      <w:proofErr w:type="spellStart"/>
      <w:r>
        <w:rPr>
          <w:rFonts w:asciiTheme="majorHAnsi" w:eastAsiaTheme="majorEastAsia" w:hAnsiTheme="majorHAnsi" w:cstheme="majorBidi"/>
          <w:b/>
          <w:bCs/>
          <w:color w:val="4F81BD" w:themeColor="accent1"/>
          <w:sz w:val="26"/>
          <w:szCs w:val="26"/>
        </w:rPr>
        <w:t>Approva</w:t>
      </w:r>
      <w:r w:rsidR="00B54900">
        <w:rPr>
          <w:rFonts w:asciiTheme="majorHAnsi" w:eastAsiaTheme="majorEastAsia" w:hAnsiTheme="majorHAnsi" w:cstheme="majorBidi"/>
          <w:b/>
          <w:bCs/>
          <w:color w:val="4F81BD" w:themeColor="accent1"/>
          <w:sz w:val="26"/>
          <w:szCs w:val="26"/>
        </w:rPr>
        <w:t>zioni</w:t>
      </w:r>
      <w:proofErr w:type="spellEnd"/>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78"/>
        <w:gridCol w:w="1834"/>
        <w:gridCol w:w="1859"/>
        <w:gridCol w:w="1909"/>
        <w:gridCol w:w="1936"/>
      </w:tblGrid>
      <w:tr w:rsidR="00B54900" w:rsidTr="004572F2">
        <w:tc>
          <w:tcPr>
            <w:tcW w:w="1526" w:type="dxa"/>
            <w:shd w:val="clear" w:color="auto" w:fill="F2F2F2" w:themeFill="background1" w:themeFillShade="F2"/>
            <w:vAlign w:val="center"/>
          </w:tcPr>
          <w:p w:rsidR="00267B12" w:rsidRPr="009C71F6" w:rsidRDefault="00B54900" w:rsidP="00B54900">
            <w:pPr>
              <w:jc w:val="center"/>
            </w:pPr>
            <w:r>
              <w:t>Nome</w:t>
            </w:r>
          </w:p>
        </w:tc>
        <w:tc>
          <w:tcPr>
            <w:tcW w:w="1890" w:type="dxa"/>
            <w:shd w:val="clear" w:color="auto" w:fill="F2F2F2" w:themeFill="background1" w:themeFillShade="F2"/>
            <w:vAlign w:val="center"/>
          </w:tcPr>
          <w:p w:rsidR="00267B12" w:rsidRDefault="00267B12" w:rsidP="004572F2">
            <w:pPr>
              <w:jc w:val="center"/>
            </w:pPr>
            <w:proofErr w:type="spellStart"/>
            <w:r>
              <w:t>Version</w:t>
            </w:r>
            <w:r w:rsidR="00B54900">
              <w:t>e</w:t>
            </w:r>
            <w:proofErr w:type="spellEnd"/>
          </w:p>
        </w:tc>
        <w:tc>
          <w:tcPr>
            <w:tcW w:w="1942" w:type="dxa"/>
            <w:shd w:val="clear" w:color="auto" w:fill="F2F2F2" w:themeFill="background1" w:themeFillShade="F2"/>
            <w:vAlign w:val="center"/>
          </w:tcPr>
          <w:p w:rsidR="00267B12" w:rsidRDefault="00B54900" w:rsidP="004572F2">
            <w:pPr>
              <w:jc w:val="center"/>
            </w:pPr>
            <w:r>
              <w:t>Data</w:t>
            </w:r>
          </w:p>
        </w:tc>
        <w:tc>
          <w:tcPr>
            <w:tcW w:w="1942" w:type="dxa"/>
            <w:shd w:val="clear" w:color="auto" w:fill="F2F2F2" w:themeFill="background1" w:themeFillShade="F2"/>
            <w:vAlign w:val="center"/>
          </w:tcPr>
          <w:p w:rsidR="00267B12" w:rsidRDefault="00B54900" w:rsidP="00B54900">
            <w:pPr>
              <w:jc w:val="center"/>
            </w:pPr>
            <w:proofErr w:type="spellStart"/>
            <w:r>
              <w:t>Contesto</w:t>
            </w:r>
            <w:proofErr w:type="spellEnd"/>
            <w:r>
              <w:t xml:space="preserve"> di </w:t>
            </w:r>
            <w:proofErr w:type="spellStart"/>
            <w:r>
              <w:t>approvazione</w:t>
            </w:r>
            <w:proofErr w:type="spellEnd"/>
          </w:p>
        </w:tc>
        <w:tc>
          <w:tcPr>
            <w:tcW w:w="1942" w:type="dxa"/>
            <w:shd w:val="clear" w:color="auto" w:fill="F2F2F2" w:themeFill="background1" w:themeFillShade="F2"/>
            <w:vAlign w:val="center"/>
          </w:tcPr>
          <w:p w:rsidR="00267B12" w:rsidRDefault="00B54900" w:rsidP="00B54900">
            <w:pPr>
              <w:jc w:val="center"/>
            </w:pPr>
            <w:r>
              <w:t>Firma</w:t>
            </w:r>
          </w:p>
        </w:tc>
      </w:tr>
      <w:tr w:rsidR="00B54900" w:rsidRPr="00B54900" w:rsidTr="004572F2">
        <w:tc>
          <w:tcPr>
            <w:tcW w:w="1526" w:type="dxa"/>
          </w:tcPr>
          <w:p w:rsidR="00000C02" w:rsidRPr="009C71F6" w:rsidRDefault="00000C02" w:rsidP="00000C02"/>
        </w:tc>
        <w:tc>
          <w:tcPr>
            <w:tcW w:w="1890" w:type="dxa"/>
          </w:tcPr>
          <w:p w:rsidR="00000C02" w:rsidRDefault="00000C02" w:rsidP="00000C02">
            <w:pPr>
              <w:rPr>
                <w:rFonts w:asciiTheme="majorHAnsi" w:eastAsiaTheme="majorEastAsia" w:hAnsiTheme="majorHAnsi" w:cstheme="majorBidi"/>
                <w:b/>
                <w:bCs/>
                <w:color w:val="4F81BD" w:themeColor="accent1"/>
                <w:sz w:val="26"/>
                <w:szCs w:val="26"/>
              </w:rPr>
            </w:pPr>
          </w:p>
        </w:tc>
        <w:tc>
          <w:tcPr>
            <w:tcW w:w="1942" w:type="dxa"/>
          </w:tcPr>
          <w:p w:rsidR="00000C02" w:rsidRDefault="00000C02" w:rsidP="00000C02">
            <w:pPr>
              <w:rPr>
                <w:rFonts w:asciiTheme="majorHAnsi" w:eastAsiaTheme="majorEastAsia" w:hAnsiTheme="majorHAnsi" w:cstheme="majorBidi"/>
                <w:b/>
                <w:bCs/>
                <w:color w:val="4F81BD" w:themeColor="accent1"/>
                <w:sz w:val="26"/>
                <w:szCs w:val="26"/>
              </w:rPr>
            </w:pPr>
          </w:p>
        </w:tc>
        <w:tc>
          <w:tcPr>
            <w:tcW w:w="1942" w:type="dxa"/>
          </w:tcPr>
          <w:p w:rsidR="00000C02" w:rsidRPr="00B54900" w:rsidRDefault="00B54900" w:rsidP="00000C02">
            <w:pPr>
              <w:spacing w:before="120" w:after="120"/>
              <w:rPr>
                <w:i/>
                <w:lang w:val="it-IT"/>
              </w:rPr>
            </w:pPr>
            <w:r w:rsidRPr="0067385C">
              <w:rPr>
                <w:i/>
                <w:lang w:val="it-IT"/>
              </w:rPr>
              <w:t>Questo document</w:t>
            </w:r>
            <w:r>
              <w:rPr>
                <w:i/>
                <w:lang w:val="it-IT"/>
              </w:rPr>
              <w:t>o</w:t>
            </w:r>
            <w:r w:rsidRPr="0067385C">
              <w:rPr>
                <w:i/>
                <w:lang w:val="it-IT"/>
              </w:rPr>
              <w:t>, insieme agli altri piani di gestione, dovrebbe essere approvato nell’ambito del processo di definizione</w:t>
            </w:r>
            <w:r w:rsidRPr="00D1423F">
              <w:rPr>
                <w:i/>
                <w:lang w:val="it-IT"/>
              </w:rPr>
              <w:t>.</w:t>
            </w:r>
          </w:p>
          <w:p w:rsidR="00000C02" w:rsidRPr="00B54900" w:rsidRDefault="00000C02" w:rsidP="00000C02">
            <w:pPr>
              <w:rPr>
                <w:i/>
                <w:lang w:val="it-IT"/>
              </w:rPr>
            </w:pPr>
          </w:p>
        </w:tc>
        <w:tc>
          <w:tcPr>
            <w:tcW w:w="1942" w:type="dxa"/>
          </w:tcPr>
          <w:p w:rsidR="00000C02" w:rsidRPr="00B54900" w:rsidRDefault="00B54900" w:rsidP="00000C02">
            <w:pPr>
              <w:spacing w:before="120" w:after="120"/>
              <w:rPr>
                <w:i/>
                <w:lang w:val="it-IT"/>
              </w:rPr>
            </w:pPr>
            <w:r w:rsidRPr="00412DDE">
              <w:rPr>
                <w:i/>
                <w:lang w:val="it-IT"/>
              </w:rPr>
              <w:t>La firma della persona che concede l’approvazione, di solito lo sponsor. Se lo sponsor non dà la sua approvazione, la colonna ‘contesto dell’approvazione’ dovrebbe spiegarne le ragioni</w:t>
            </w:r>
            <w:r>
              <w:rPr>
                <w:i/>
                <w:lang w:val="it-IT"/>
              </w:rPr>
              <w:t>.</w:t>
            </w:r>
          </w:p>
        </w:tc>
      </w:tr>
      <w:tr w:rsidR="00B54900" w:rsidRPr="00B54900" w:rsidTr="004572F2">
        <w:tc>
          <w:tcPr>
            <w:tcW w:w="1526" w:type="dxa"/>
          </w:tcPr>
          <w:p w:rsidR="00000C02" w:rsidRPr="00B54900" w:rsidRDefault="00000C02" w:rsidP="00000C02">
            <w:pPr>
              <w:rPr>
                <w:lang w:val="it-IT"/>
              </w:rPr>
            </w:pPr>
          </w:p>
        </w:tc>
        <w:tc>
          <w:tcPr>
            <w:tcW w:w="1890" w:type="dxa"/>
          </w:tcPr>
          <w:p w:rsidR="00000C02" w:rsidRPr="00B54900" w:rsidRDefault="00000C02" w:rsidP="00000C02">
            <w:pPr>
              <w:rPr>
                <w:rFonts w:asciiTheme="majorHAnsi" w:eastAsiaTheme="majorEastAsia" w:hAnsiTheme="majorHAnsi" w:cstheme="majorBidi"/>
                <w:b/>
                <w:bCs/>
                <w:color w:val="4F81BD" w:themeColor="accent1"/>
                <w:sz w:val="26"/>
                <w:szCs w:val="26"/>
                <w:lang w:val="it-IT"/>
              </w:rPr>
            </w:pPr>
          </w:p>
        </w:tc>
        <w:tc>
          <w:tcPr>
            <w:tcW w:w="1942" w:type="dxa"/>
          </w:tcPr>
          <w:p w:rsidR="00000C02" w:rsidRPr="00B54900" w:rsidRDefault="00000C02" w:rsidP="00000C02">
            <w:pPr>
              <w:rPr>
                <w:rFonts w:asciiTheme="majorHAnsi" w:eastAsiaTheme="majorEastAsia" w:hAnsiTheme="majorHAnsi" w:cstheme="majorBidi"/>
                <w:b/>
                <w:bCs/>
                <w:color w:val="4F81BD" w:themeColor="accent1"/>
                <w:sz w:val="26"/>
                <w:szCs w:val="26"/>
                <w:lang w:val="it-IT"/>
              </w:rPr>
            </w:pPr>
          </w:p>
        </w:tc>
        <w:tc>
          <w:tcPr>
            <w:tcW w:w="1942" w:type="dxa"/>
          </w:tcPr>
          <w:p w:rsidR="00000C02" w:rsidRPr="00B54900" w:rsidRDefault="00000C02" w:rsidP="00000C02">
            <w:pPr>
              <w:rPr>
                <w:rFonts w:asciiTheme="majorHAnsi" w:eastAsiaTheme="majorEastAsia" w:hAnsiTheme="majorHAnsi" w:cstheme="majorBidi"/>
                <w:b/>
                <w:bCs/>
                <w:color w:val="4F81BD" w:themeColor="accent1"/>
                <w:sz w:val="26"/>
                <w:szCs w:val="26"/>
                <w:lang w:val="it-IT"/>
              </w:rPr>
            </w:pPr>
          </w:p>
        </w:tc>
        <w:tc>
          <w:tcPr>
            <w:tcW w:w="1942" w:type="dxa"/>
          </w:tcPr>
          <w:p w:rsidR="00000C02" w:rsidRPr="00B54900" w:rsidRDefault="00000C02" w:rsidP="00000C02">
            <w:pPr>
              <w:rPr>
                <w:rFonts w:asciiTheme="majorHAnsi" w:eastAsiaTheme="majorEastAsia" w:hAnsiTheme="majorHAnsi" w:cstheme="majorBidi"/>
                <w:b/>
                <w:bCs/>
                <w:color w:val="4F81BD" w:themeColor="accent1"/>
                <w:sz w:val="26"/>
                <w:szCs w:val="26"/>
                <w:lang w:val="it-IT"/>
              </w:rPr>
            </w:pPr>
          </w:p>
        </w:tc>
      </w:tr>
    </w:tbl>
    <w:p w:rsidR="00267B12" w:rsidRPr="00B54900" w:rsidRDefault="00267B12" w:rsidP="00267B12">
      <w:pPr>
        <w:spacing w:afterLines="120" w:after="288"/>
        <w:rPr>
          <w:rFonts w:asciiTheme="majorHAnsi" w:eastAsiaTheme="majorEastAsia" w:hAnsiTheme="majorHAnsi" w:cstheme="majorBidi"/>
          <w:b/>
          <w:bCs/>
          <w:color w:val="4F81BD" w:themeColor="accent1"/>
          <w:sz w:val="26"/>
          <w:szCs w:val="26"/>
          <w:lang w:val="it-IT"/>
        </w:rPr>
      </w:pPr>
    </w:p>
    <w:p w:rsidR="00267B12" w:rsidRPr="009C71F6" w:rsidRDefault="00267B12" w:rsidP="00267B12">
      <w:pPr>
        <w:spacing w:afterLines="120" w:after="288"/>
        <w:rPr>
          <w:rFonts w:asciiTheme="majorHAnsi" w:eastAsiaTheme="majorEastAsia" w:hAnsiTheme="majorHAnsi" w:cstheme="majorBidi"/>
          <w:b/>
          <w:bCs/>
          <w:color w:val="4F81BD" w:themeColor="accent1"/>
          <w:sz w:val="26"/>
          <w:szCs w:val="26"/>
        </w:rPr>
      </w:pPr>
      <w:proofErr w:type="spellStart"/>
      <w:r>
        <w:rPr>
          <w:rFonts w:asciiTheme="majorHAnsi" w:eastAsiaTheme="majorEastAsia" w:hAnsiTheme="majorHAnsi" w:cstheme="majorBidi"/>
          <w:b/>
          <w:bCs/>
          <w:color w:val="4F81BD" w:themeColor="accent1"/>
          <w:sz w:val="26"/>
          <w:szCs w:val="26"/>
        </w:rPr>
        <w:t>Distribu</w:t>
      </w:r>
      <w:r w:rsidR="00B54900">
        <w:rPr>
          <w:rFonts w:asciiTheme="majorHAnsi" w:eastAsiaTheme="majorEastAsia" w:hAnsiTheme="majorHAnsi" w:cstheme="majorBidi"/>
          <w:b/>
          <w:bCs/>
          <w:color w:val="4F81BD" w:themeColor="accent1"/>
          <w:sz w:val="26"/>
          <w:szCs w:val="26"/>
        </w:rPr>
        <w:t>zione</w:t>
      </w:r>
      <w:proofErr w:type="spellEnd"/>
    </w:p>
    <w:tbl>
      <w:tblPr>
        <w:tblStyle w:val="Grigliatabella"/>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267B12" w:rsidTr="004572F2">
        <w:tc>
          <w:tcPr>
            <w:tcW w:w="3413" w:type="dxa"/>
            <w:shd w:val="clear" w:color="auto" w:fill="F2F2F2" w:themeFill="background1" w:themeFillShade="F2"/>
            <w:vAlign w:val="center"/>
          </w:tcPr>
          <w:p w:rsidR="00267B12" w:rsidRPr="009C71F6" w:rsidRDefault="00267B12" w:rsidP="00B54900">
            <w:pPr>
              <w:jc w:val="center"/>
            </w:pPr>
            <w:proofErr w:type="spellStart"/>
            <w:r>
              <w:t>Distribu</w:t>
            </w:r>
            <w:r w:rsidR="00B54900">
              <w:t>ito</w:t>
            </w:r>
            <w:proofErr w:type="spellEnd"/>
            <w:r w:rsidR="00B54900">
              <w:t xml:space="preserve"> a</w:t>
            </w:r>
            <w:r>
              <w:t>:</w:t>
            </w:r>
          </w:p>
        </w:tc>
        <w:tc>
          <w:tcPr>
            <w:tcW w:w="1957" w:type="dxa"/>
            <w:shd w:val="clear" w:color="auto" w:fill="F2F2F2" w:themeFill="background1" w:themeFillShade="F2"/>
            <w:vAlign w:val="center"/>
          </w:tcPr>
          <w:p w:rsidR="00267B12" w:rsidRDefault="00267B12" w:rsidP="004572F2">
            <w:pPr>
              <w:jc w:val="center"/>
            </w:pPr>
            <w:proofErr w:type="spellStart"/>
            <w:r>
              <w:t>Version</w:t>
            </w:r>
            <w:r w:rsidR="00B54900">
              <w:t>e</w:t>
            </w:r>
            <w:proofErr w:type="spellEnd"/>
          </w:p>
        </w:tc>
        <w:tc>
          <w:tcPr>
            <w:tcW w:w="1958" w:type="dxa"/>
            <w:shd w:val="clear" w:color="auto" w:fill="F2F2F2" w:themeFill="background1" w:themeFillShade="F2"/>
            <w:vAlign w:val="center"/>
          </w:tcPr>
          <w:p w:rsidR="00267B12" w:rsidRDefault="00B54900" w:rsidP="004572F2">
            <w:pPr>
              <w:jc w:val="center"/>
            </w:pPr>
            <w:r>
              <w:t>Data</w:t>
            </w:r>
          </w:p>
        </w:tc>
        <w:tc>
          <w:tcPr>
            <w:tcW w:w="1958" w:type="dxa"/>
            <w:shd w:val="clear" w:color="auto" w:fill="F2F2F2" w:themeFill="background1" w:themeFillShade="F2"/>
            <w:vAlign w:val="center"/>
          </w:tcPr>
          <w:p w:rsidR="00267B12" w:rsidRDefault="00B54900" w:rsidP="00B54900">
            <w:pPr>
              <w:jc w:val="center"/>
            </w:pPr>
            <w:r>
              <w:t>Firma</w:t>
            </w: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Pr="00526493" w:rsidRDefault="00267B12" w:rsidP="004572F2">
            <w:pPr>
              <w:rPr>
                <w:rFonts w:asciiTheme="majorHAnsi" w:eastAsiaTheme="majorEastAsia" w:hAnsiTheme="majorHAnsi" w:cstheme="majorBidi"/>
                <w:b/>
                <w:bCs/>
                <w:i/>
                <w:color w:val="4F81BD" w:themeColor="accent1"/>
                <w:sz w:val="26"/>
                <w:szCs w:val="26"/>
              </w:rPr>
            </w:pP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r>
        <w:br w:type="page"/>
      </w:r>
    </w:p>
    <w:p w:rsidR="00267B12" w:rsidRDefault="00267B12" w:rsidP="00267B12">
      <w:pPr>
        <w:pStyle w:val="Titolo2"/>
      </w:pPr>
    </w:p>
    <w:p w:rsidR="00267B12" w:rsidRDefault="00B54900" w:rsidP="00267B12">
      <w:pPr>
        <w:pStyle w:val="Titolo2"/>
      </w:pPr>
      <w:proofErr w:type="spellStart"/>
      <w:r>
        <w:t>Politica</w:t>
      </w:r>
      <w:proofErr w:type="spellEnd"/>
    </w:p>
    <w:p w:rsidR="00267B12" w:rsidRPr="003F0C4D" w:rsidRDefault="00267B12" w:rsidP="00267B12">
      <w:pPr>
        <w:pStyle w:val="Nessunaspaziatura"/>
      </w:pPr>
    </w:p>
    <w:tbl>
      <w:tblPr>
        <w:tblStyle w:val="Grigliatabella"/>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4856"/>
        <w:gridCol w:w="4050"/>
      </w:tblGrid>
      <w:tr w:rsidR="009751EF" w:rsidRPr="009751EF" w:rsidTr="001F5C84">
        <w:tc>
          <w:tcPr>
            <w:tcW w:w="5061" w:type="dxa"/>
          </w:tcPr>
          <w:p w:rsidR="001F5C84" w:rsidRDefault="001F5C84" w:rsidP="001F5C84">
            <w:pPr>
              <w:pStyle w:val="Titolo3"/>
              <w:keepNext w:val="0"/>
              <w:spacing w:before="120"/>
              <w:outlineLvl w:val="2"/>
            </w:pPr>
            <w:proofErr w:type="spellStart"/>
            <w:r>
              <w:t>Introdu</w:t>
            </w:r>
            <w:r w:rsidR="00B54900">
              <w:t>zione</w:t>
            </w:r>
            <w:proofErr w:type="spellEnd"/>
          </w:p>
          <w:p w:rsidR="001F5C84" w:rsidRPr="009D282C" w:rsidRDefault="001F5C84" w:rsidP="001F5C84">
            <w:pPr>
              <w:spacing w:before="120"/>
            </w:pPr>
          </w:p>
        </w:tc>
        <w:tc>
          <w:tcPr>
            <w:tcW w:w="4181" w:type="dxa"/>
            <w:shd w:val="clear" w:color="auto" w:fill="D6E3BC" w:themeFill="accent3" w:themeFillTint="66"/>
          </w:tcPr>
          <w:p w:rsidR="001F5C84" w:rsidRPr="009751EF" w:rsidRDefault="009751EF" w:rsidP="009751EF">
            <w:pPr>
              <w:spacing w:before="120" w:after="120"/>
              <w:rPr>
                <w:lang w:val="it-IT"/>
              </w:rPr>
            </w:pPr>
            <w:r w:rsidRPr="009751EF">
              <w:rPr>
                <w:lang w:val="it-IT"/>
              </w:rPr>
              <w:t>Qui saranno spiegati il contesto del lavoro e le decisioni prese in merito a come reperire le risorse per il lavoro.</w:t>
            </w:r>
          </w:p>
        </w:tc>
      </w:tr>
      <w:tr w:rsidR="009751EF" w:rsidRPr="009751EF" w:rsidTr="001F5C84">
        <w:tc>
          <w:tcPr>
            <w:tcW w:w="5061" w:type="dxa"/>
          </w:tcPr>
          <w:p w:rsidR="001F5C84" w:rsidRDefault="00B54900" w:rsidP="001F5C84">
            <w:pPr>
              <w:pStyle w:val="Titolo3"/>
              <w:keepNext w:val="0"/>
              <w:spacing w:before="120"/>
              <w:outlineLvl w:val="2"/>
            </w:pPr>
            <w:proofErr w:type="spellStart"/>
            <w:r>
              <w:t>Ruoli</w:t>
            </w:r>
            <w:proofErr w:type="spellEnd"/>
            <w:r>
              <w:t xml:space="preserve"> e </w:t>
            </w:r>
            <w:proofErr w:type="spellStart"/>
            <w:r>
              <w:t>responsabilità</w:t>
            </w:r>
            <w:proofErr w:type="spellEnd"/>
          </w:p>
          <w:p w:rsidR="001F5C84" w:rsidRPr="00A57AA4" w:rsidRDefault="001F5C84" w:rsidP="001F5C84">
            <w:pPr>
              <w:spacing w:before="120"/>
            </w:pPr>
          </w:p>
        </w:tc>
        <w:tc>
          <w:tcPr>
            <w:tcW w:w="4181" w:type="dxa"/>
            <w:shd w:val="clear" w:color="auto" w:fill="D6E3BC" w:themeFill="accent3" w:themeFillTint="66"/>
          </w:tcPr>
          <w:p w:rsidR="009751EF" w:rsidRPr="009751EF" w:rsidRDefault="009751EF" w:rsidP="009751EF">
            <w:pPr>
              <w:spacing w:before="120"/>
              <w:rPr>
                <w:lang w:val="it-IT"/>
              </w:rPr>
            </w:pPr>
            <w:r w:rsidRPr="009751EF">
              <w:rPr>
                <w:lang w:val="it-IT"/>
              </w:rPr>
              <w:t xml:space="preserve">L'attribuzione della responsabilità relativa alla gestione delle risorse può variare dal </w:t>
            </w:r>
            <w:proofErr w:type="spellStart"/>
            <w:r w:rsidRPr="009751EF">
              <w:rPr>
                <w:lang w:val="it-IT"/>
              </w:rPr>
              <w:t>project</w:t>
            </w:r>
            <w:proofErr w:type="spellEnd"/>
            <w:r w:rsidRPr="009751EF">
              <w:rPr>
                <w:lang w:val="it-IT"/>
              </w:rPr>
              <w:t xml:space="preserve"> manager per i progetti più piccoli fino a un team dedicato di specialisti in un programma di grandi dimensioni o in un portfolio. Questa sezione del piano di gestione deve chiaramente descrivere su quali ruoli ricadono le singole specifiche responsabilità.</w:t>
            </w:r>
          </w:p>
          <w:p w:rsidR="001F5C84" w:rsidRPr="009751EF" w:rsidRDefault="009751EF" w:rsidP="009751EF">
            <w:pPr>
              <w:spacing w:before="120"/>
              <w:rPr>
                <w:lang w:val="it-IT"/>
              </w:rPr>
            </w:pPr>
            <w:r w:rsidRPr="009751EF">
              <w:rPr>
                <w:lang w:val="it-IT"/>
              </w:rPr>
              <w:t>Illustrerà inoltre le procedure di escalation e di comunicazione in seno alla struttura dell’organizzazione di progetto, programma e portfolio.</w:t>
            </w:r>
          </w:p>
        </w:tc>
      </w:tr>
      <w:tr w:rsidR="009751EF" w:rsidRPr="009751EF" w:rsidTr="001F5C84">
        <w:tc>
          <w:tcPr>
            <w:tcW w:w="5061" w:type="dxa"/>
          </w:tcPr>
          <w:p w:rsidR="001F5C84" w:rsidRDefault="00B54900" w:rsidP="001F5C84">
            <w:pPr>
              <w:pStyle w:val="Titolo3"/>
              <w:keepNext w:val="0"/>
              <w:spacing w:before="120"/>
              <w:outlineLvl w:val="2"/>
            </w:pPr>
            <w:proofErr w:type="spellStart"/>
            <w:r>
              <w:t>Gestione</w:t>
            </w:r>
            <w:proofErr w:type="spellEnd"/>
            <w:r>
              <w:t xml:space="preserve"> delle </w:t>
            </w:r>
            <w:proofErr w:type="spellStart"/>
            <w:r>
              <w:t>informazioni</w:t>
            </w:r>
            <w:proofErr w:type="spellEnd"/>
          </w:p>
          <w:p w:rsidR="001F5C84" w:rsidRPr="00A57AA4" w:rsidRDefault="001F5C84" w:rsidP="001F5C84">
            <w:pPr>
              <w:spacing w:before="120"/>
            </w:pPr>
          </w:p>
        </w:tc>
        <w:tc>
          <w:tcPr>
            <w:tcW w:w="4181" w:type="dxa"/>
            <w:shd w:val="clear" w:color="auto" w:fill="D6E3BC" w:themeFill="accent3" w:themeFillTint="66"/>
          </w:tcPr>
          <w:p w:rsidR="009751EF" w:rsidRPr="009751EF" w:rsidRDefault="009751EF" w:rsidP="009751EF">
            <w:pPr>
              <w:spacing w:before="120"/>
              <w:rPr>
                <w:lang w:val="it-IT"/>
              </w:rPr>
            </w:pPr>
            <w:r w:rsidRPr="009751EF">
              <w:rPr>
                <w:lang w:val="it-IT"/>
              </w:rPr>
              <w:t>Quando la gamma di risorse e di approvvigionamenti diviene più complessa, si amplierà l’estensione delle informazioni di supporto.</w:t>
            </w:r>
          </w:p>
          <w:p w:rsidR="009751EF" w:rsidRPr="009751EF" w:rsidRDefault="009751EF" w:rsidP="009751EF">
            <w:pPr>
              <w:spacing w:before="120"/>
              <w:rPr>
                <w:lang w:val="it-IT"/>
              </w:rPr>
            </w:pPr>
            <w:r w:rsidRPr="009751EF">
              <w:rPr>
                <w:lang w:val="it-IT"/>
              </w:rPr>
              <w:t xml:space="preserve">La gestione delle risorse è una delle funzioni caratterizzanti del Project, </w:t>
            </w:r>
            <w:proofErr w:type="spellStart"/>
            <w:r w:rsidRPr="009751EF">
              <w:rPr>
                <w:lang w:val="it-IT"/>
              </w:rPr>
              <w:t>Programme</w:t>
            </w:r>
            <w:proofErr w:type="spellEnd"/>
            <w:r w:rsidRPr="009751EF">
              <w:rPr>
                <w:lang w:val="it-IT"/>
              </w:rPr>
              <w:t xml:space="preserve"> e Portfolio Management e rappresenta la potenziale fonte della maggior parte delle questioni che un team di gestione deve risolvere. È importante documentare accuratamente tutte le decisioni e gli accordi per evitare possibilità di contrasti durante la consegna.</w:t>
            </w:r>
          </w:p>
          <w:p w:rsidR="001F5C84" w:rsidRPr="009751EF" w:rsidRDefault="009751EF" w:rsidP="009751EF">
            <w:pPr>
              <w:spacing w:before="120"/>
              <w:rPr>
                <w:lang w:val="it-IT"/>
              </w:rPr>
            </w:pPr>
            <w:r w:rsidRPr="009751EF">
              <w:rPr>
                <w:lang w:val="it-IT"/>
              </w:rPr>
              <w:t xml:space="preserve">Questa sezione fornirà consigli sulla estensione, il contenuto </w:t>
            </w:r>
            <w:r w:rsidRPr="009751EF">
              <w:rPr>
                <w:lang w:val="it-IT"/>
              </w:rPr>
              <w:t>e l’uso di una vasta gamma di do</w:t>
            </w:r>
            <w:r w:rsidRPr="009751EF">
              <w:rPr>
                <w:lang w:val="it-IT"/>
              </w:rPr>
              <w:t>cumenti.</w:t>
            </w:r>
          </w:p>
        </w:tc>
      </w:tr>
      <w:tr w:rsidR="009751EF" w:rsidTr="001F5C84">
        <w:trPr>
          <w:cantSplit/>
        </w:trPr>
        <w:tc>
          <w:tcPr>
            <w:tcW w:w="5061" w:type="dxa"/>
          </w:tcPr>
          <w:p w:rsidR="001F5C84" w:rsidRDefault="00B54900" w:rsidP="001F5C84">
            <w:pPr>
              <w:pStyle w:val="Titolo3"/>
              <w:keepNext w:val="0"/>
              <w:spacing w:before="120"/>
              <w:outlineLvl w:val="2"/>
            </w:pPr>
            <w:proofErr w:type="spellStart"/>
            <w:r>
              <w:t>Garanzia</w:t>
            </w:r>
            <w:proofErr w:type="spellEnd"/>
          </w:p>
          <w:p w:rsidR="001F5C84" w:rsidRPr="009060CE" w:rsidRDefault="001F5C84" w:rsidP="001F5C84">
            <w:pPr>
              <w:pStyle w:val="Nessunaspaziatura"/>
              <w:spacing w:before="120"/>
            </w:pPr>
          </w:p>
        </w:tc>
        <w:tc>
          <w:tcPr>
            <w:tcW w:w="4181" w:type="dxa"/>
            <w:shd w:val="clear" w:color="auto" w:fill="D6E3BC" w:themeFill="accent3" w:themeFillTint="66"/>
          </w:tcPr>
          <w:p w:rsidR="001F5C84" w:rsidRDefault="009751EF" w:rsidP="009751EF">
            <w:pPr>
              <w:spacing w:before="120" w:after="120"/>
            </w:pPr>
            <w:r w:rsidRPr="009751EF">
              <w:rPr>
                <w:lang w:val="it-IT"/>
              </w:rPr>
              <w:t xml:space="preserve">In questa sezione saranno descritti i criteri per una gestione delle risorse di successo da utilizzare in tutte le revisioni di garanzia. </w:t>
            </w:r>
          </w:p>
        </w:tc>
      </w:tr>
      <w:tr w:rsidR="009751EF" w:rsidTr="001F5C84">
        <w:trPr>
          <w:cantSplit/>
        </w:trPr>
        <w:tc>
          <w:tcPr>
            <w:tcW w:w="5061" w:type="dxa"/>
          </w:tcPr>
          <w:p w:rsidR="001F5C84" w:rsidRDefault="001F5C84" w:rsidP="001F5C84">
            <w:pPr>
              <w:pStyle w:val="Titolo3"/>
              <w:keepNext w:val="0"/>
              <w:spacing w:before="120"/>
              <w:outlineLvl w:val="2"/>
            </w:pPr>
            <w:r>
              <w:lastRenderedPageBreak/>
              <w:t>Budget</w:t>
            </w:r>
          </w:p>
          <w:p w:rsidR="001F5C84" w:rsidRPr="00383F87" w:rsidRDefault="001F5C84" w:rsidP="001F5C84">
            <w:pPr>
              <w:spacing w:before="120"/>
            </w:pPr>
          </w:p>
        </w:tc>
        <w:tc>
          <w:tcPr>
            <w:tcW w:w="4181" w:type="dxa"/>
            <w:shd w:val="clear" w:color="auto" w:fill="D6E3BC" w:themeFill="accent3" w:themeFillTint="66"/>
          </w:tcPr>
          <w:p w:rsidR="001F5C84" w:rsidRDefault="009751EF" w:rsidP="009751EF">
            <w:pPr>
              <w:spacing w:before="120" w:after="120"/>
            </w:pPr>
            <w:r w:rsidRPr="009751EF">
              <w:rPr>
                <w:lang w:val="it-IT"/>
              </w:rPr>
              <w:t xml:space="preserve">Per alcuni aspetti della gestione delle risorse, come ad esempio input legali riguardo ai contratti, può essere necessario un parere specialistico. Anche se la maggior parte dei costi associati alla gestione delle risorse fanno parte delle spese generali di gestione, può essere necessario anche identificare budget specifici. </w:t>
            </w:r>
          </w:p>
        </w:tc>
      </w:tr>
      <w:tr w:rsidR="009751EF" w:rsidRPr="009751EF" w:rsidTr="001F5C84">
        <w:trPr>
          <w:cantSplit/>
        </w:trPr>
        <w:tc>
          <w:tcPr>
            <w:tcW w:w="5061" w:type="dxa"/>
          </w:tcPr>
          <w:p w:rsidR="001F5C84" w:rsidRDefault="001F5C84" w:rsidP="001F5C84">
            <w:pPr>
              <w:pStyle w:val="Titolo3"/>
              <w:keepNext w:val="0"/>
              <w:spacing w:before="120"/>
              <w:outlineLvl w:val="2"/>
            </w:pPr>
            <w:proofErr w:type="spellStart"/>
            <w:r>
              <w:t>Interfac</w:t>
            </w:r>
            <w:r w:rsidR="00B54900">
              <w:t>ce</w:t>
            </w:r>
            <w:proofErr w:type="spellEnd"/>
          </w:p>
          <w:p w:rsidR="001F5C84" w:rsidRPr="00383F87" w:rsidRDefault="001F5C84" w:rsidP="001F5C84">
            <w:pPr>
              <w:spacing w:before="120"/>
            </w:pPr>
          </w:p>
        </w:tc>
        <w:tc>
          <w:tcPr>
            <w:tcW w:w="4181" w:type="dxa"/>
            <w:shd w:val="clear" w:color="auto" w:fill="D6E3BC" w:themeFill="accent3" w:themeFillTint="66"/>
          </w:tcPr>
          <w:p w:rsidR="001F5C84" w:rsidRPr="009751EF" w:rsidRDefault="009751EF" w:rsidP="001F5C84">
            <w:pPr>
              <w:spacing w:before="120" w:after="120"/>
              <w:rPr>
                <w:lang w:val="it-IT"/>
              </w:rPr>
            </w:pPr>
            <w:r w:rsidRPr="009751EF">
              <w:rPr>
                <w:lang w:val="it-IT"/>
              </w:rPr>
              <w:t>Le risorse hanno collegamenti specifici agli stakeholder, ai rischi ad esse associate e alle schedul</w:t>
            </w:r>
            <w:r>
              <w:rPr>
                <w:lang w:val="it-IT"/>
              </w:rPr>
              <w:t>azioni specifiche. In questa se</w:t>
            </w:r>
            <w:r w:rsidRPr="009751EF">
              <w:rPr>
                <w:lang w:val="it-IT"/>
              </w:rPr>
              <w:t>zione viene spiegato nel dettaglio come saranno gestiti questi riferimenti incrociati.</w:t>
            </w:r>
          </w:p>
        </w:tc>
      </w:tr>
    </w:tbl>
    <w:p w:rsidR="00267B12" w:rsidRPr="009751EF" w:rsidRDefault="00267B12" w:rsidP="00267B12">
      <w:pPr>
        <w:pStyle w:val="Nessunaspaziatura"/>
        <w:rPr>
          <w:lang w:val="it-IT"/>
        </w:rPr>
      </w:pPr>
    </w:p>
    <w:p w:rsidR="00267B12" w:rsidRDefault="00383F87" w:rsidP="00267B12">
      <w:pPr>
        <w:pStyle w:val="Titolo2"/>
      </w:pPr>
      <w:proofErr w:type="spellStart"/>
      <w:r>
        <w:t>Procedur</w:t>
      </w:r>
      <w:r w:rsidR="00B54900">
        <w:t>a</w:t>
      </w:r>
      <w:proofErr w:type="spellEnd"/>
    </w:p>
    <w:p w:rsidR="00267B12" w:rsidRPr="00821C33" w:rsidRDefault="00267B12" w:rsidP="00267B12">
      <w:pPr>
        <w:pStyle w:val="Nessunaspaziatura"/>
      </w:pPr>
    </w:p>
    <w:tbl>
      <w:tblPr>
        <w:tblStyle w:val="Grigliatabella"/>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A0" w:firstRow="1" w:lastRow="0" w:firstColumn="1" w:lastColumn="0" w:noHBand="0" w:noVBand="1"/>
      </w:tblPr>
      <w:tblGrid>
        <w:gridCol w:w="5070"/>
        <w:gridCol w:w="4172"/>
      </w:tblGrid>
      <w:tr w:rsidR="001F5C84" w:rsidRPr="009751EF" w:rsidTr="001F5C84">
        <w:tc>
          <w:tcPr>
            <w:tcW w:w="5070" w:type="dxa"/>
          </w:tcPr>
          <w:p w:rsidR="001F5C84" w:rsidRDefault="001F5C84" w:rsidP="001F5C84">
            <w:pPr>
              <w:pStyle w:val="Titolo3"/>
              <w:keepNext w:val="0"/>
              <w:spacing w:before="120"/>
              <w:outlineLvl w:val="2"/>
            </w:pPr>
            <w:proofErr w:type="spellStart"/>
            <w:r>
              <w:t>R</w:t>
            </w:r>
            <w:r w:rsidR="00B54900">
              <w:t>icercare</w:t>
            </w:r>
            <w:proofErr w:type="spellEnd"/>
          </w:p>
          <w:p w:rsidR="001F5C84" w:rsidRPr="00217FBC" w:rsidRDefault="001F5C84" w:rsidP="001F5C84">
            <w:pPr>
              <w:spacing w:before="120"/>
            </w:pPr>
          </w:p>
        </w:tc>
        <w:tc>
          <w:tcPr>
            <w:tcW w:w="4172" w:type="dxa"/>
            <w:shd w:val="clear" w:color="auto" w:fill="D6E3BC" w:themeFill="accent3" w:themeFillTint="66"/>
          </w:tcPr>
          <w:p w:rsidR="001F5C84" w:rsidRPr="009751EF" w:rsidRDefault="009751EF" w:rsidP="001F5C84">
            <w:pPr>
              <w:spacing w:before="120" w:after="120"/>
              <w:rPr>
                <w:lang w:val="it-IT"/>
              </w:rPr>
            </w:pPr>
            <w:r w:rsidRPr="009751EF">
              <w:rPr>
                <w:lang w:val="it-IT"/>
              </w:rPr>
              <w:t>La ricerca fra le varie opzioni di reperimento delle risorse può essere un foglio bianco, ma in caso contrario in questa sezione dovrebbe essere descritto il tipo di supporto a disposizione del team di gestione del progetto, programma o portfolio. Questo può comprendere liste dei fornitori approvati, la presenza di accordi quadro o disposizioni di outsourcing.</w:t>
            </w:r>
          </w:p>
        </w:tc>
      </w:tr>
      <w:tr w:rsidR="001F5C84" w:rsidTr="001F5C84">
        <w:trPr>
          <w:cantSplit/>
        </w:trPr>
        <w:tc>
          <w:tcPr>
            <w:tcW w:w="5070" w:type="dxa"/>
          </w:tcPr>
          <w:p w:rsidR="001F5C84" w:rsidRDefault="00B54900" w:rsidP="001F5C84">
            <w:pPr>
              <w:pStyle w:val="Titolo3"/>
              <w:keepNext w:val="0"/>
              <w:spacing w:before="120"/>
              <w:outlineLvl w:val="2"/>
            </w:pPr>
            <w:proofErr w:type="spellStart"/>
            <w:r>
              <w:t>Indire</w:t>
            </w:r>
            <w:proofErr w:type="spellEnd"/>
            <w:r>
              <w:t xml:space="preserve"> la </w:t>
            </w:r>
            <w:proofErr w:type="spellStart"/>
            <w:r>
              <w:t>gara</w:t>
            </w:r>
            <w:proofErr w:type="spellEnd"/>
          </w:p>
          <w:p w:rsidR="001F5C84" w:rsidRPr="007F67E6" w:rsidRDefault="001F5C84" w:rsidP="001F5C84">
            <w:pPr>
              <w:spacing w:before="120"/>
            </w:pPr>
          </w:p>
        </w:tc>
        <w:tc>
          <w:tcPr>
            <w:tcW w:w="4172" w:type="dxa"/>
            <w:shd w:val="clear" w:color="auto" w:fill="D6E3BC" w:themeFill="accent3" w:themeFillTint="66"/>
          </w:tcPr>
          <w:p w:rsidR="001F5C84" w:rsidRDefault="009751EF" w:rsidP="009751EF">
            <w:pPr>
              <w:spacing w:before="120" w:after="120"/>
            </w:pPr>
            <w:r w:rsidRPr="009751EF">
              <w:rPr>
                <w:lang w:val="it-IT"/>
              </w:rPr>
              <w:t xml:space="preserve">L’esecuzione della gara deve essere trasparente, etica ed efficace. Questa sezione stabilirà le procedure da utilizzare e le linee guida da seguire. </w:t>
            </w:r>
          </w:p>
        </w:tc>
      </w:tr>
      <w:tr w:rsidR="001F5C84" w:rsidRPr="009751EF" w:rsidTr="001F5C84">
        <w:tc>
          <w:tcPr>
            <w:tcW w:w="5070" w:type="dxa"/>
          </w:tcPr>
          <w:p w:rsidR="001F5C84" w:rsidRPr="007F67E6" w:rsidRDefault="00B54900" w:rsidP="00B54900">
            <w:pPr>
              <w:pStyle w:val="Titolo3"/>
              <w:keepNext w:val="0"/>
              <w:spacing w:before="120"/>
            </w:pPr>
            <w:proofErr w:type="spellStart"/>
            <w:r>
              <w:t>Aggiudicare</w:t>
            </w:r>
            <w:proofErr w:type="spellEnd"/>
            <w:r>
              <w:t xml:space="preserve"> </w:t>
            </w:r>
            <w:proofErr w:type="spellStart"/>
            <w:proofErr w:type="gramStart"/>
            <w:r>
              <w:t>il</w:t>
            </w:r>
            <w:proofErr w:type="spellEnd"/>
            <w:proofErr w:type="gramEnd"/>
            <w:r>
              <w:t xml:space="preserve"> </w:t>
            </w:r>
            <w:proofErr w:type="spellStart"/>
            <w:r>
              <w:t>contratto</w:t>
            </w:r>
            <w:proofErr w:type="spellEnd"/>
          </w:p>
        </w:tc>
        <w:tc>
          <w:tcPr>
            <w:tcW w:w="4172" w:type="dxa"/>
            <w:shd w:val="clear" w:color="auto" w:fill="D6E3BC" w:themeFill="accent3" w:themeFillTint="66"/>
          </w:tcPr>
          <w:p w:rsidR="001F5C84" w:rsidRPr="009751EF" w:rsidRDefault="009751EF" w:rsidP="001F5C84">
            <w:pPr>
              <w:spacing w:before="120" w:after="120"/>
              <w:rPr>
                <w:lang w:val="it-IT"/>
              </w:rPr>
            </w:pPr>
            <w:r w:rsidRPr="009751EF">
              <w:rPr>
                <w:lang w:val="it-IT"/>
              </w:rPr>
              <w:t xml:space="preserve">Solo i progetti, i programmi o i portfolio particolarmente più grandi saranno un soggetto giuridico di per se stessi. La maggior parte dei contratti sarà sottoscritta dai membri del team di gestione del progetto, programma o portfolio. È importante che il piano di gestione specifichi le politiche dell’organizzazione sede in materia di stipula dei contratti e chi </w:t>
            </w:r>
            <w:r w:rsidRPr="009751EF">
              <w:rPr>
                <w:lang w:val="it-IT"/>
              </w:rPr>
              <w:lastRenderedPageBreak/>
              <w:t>ha il diritto di farlo per conto dell’organizzazione.</w:t>
            </w:r>
          </w:p>
        </w:tc>
      </w:tr>
      <w:tr w:rsidR="001F5C84" w:rsidRPr="009751EF" w:rsidTr="001F5C84">
        <w:tc>
          <w:tcPr>
            <w:tcW w:w="5070" w:type="dxa"/>
          </w:tcPr>
          <w:p w:rsidR="006C1192" w:rsidRDefault="001F5C84" w:rsidP="006C1192">
            <w:pPr>
              <w:pStyle w:val="Titolo3"/>
              <w:keepNext w:val="0"/>
              <w:spacing w:before="120"/>
              <w:outlineLvl w:val="2"/>
            </w:pPr>
            <w:proofErr w:type="spellStart"/>
            <w:r>
              <w:lastRenderedPageBreak/>
              <w:t>Mobili</w:t>
            </w:r>
            <w:r w:rsidR="00B54900">
              <w:t>tare</w:t>
            </w:r>
            <w:proofErr w:type="spellEnd"/>
          </w:p>
          <w:p w:rsidR="006C1192" w:rsidRPr="006C1192" w:rsidRDefault="006C1192" w:rsidP="006C1192"/>
          <w:p w:rsidR="006C1192" w:rsidRPr="006C1192" w:rsidRDefault="006C1192" w:rsidP="006C1192"/>
          <w:p w:rsidR="006C1192" w:rsidRPr="006C1192" w:rsidRDefault="006C1192" w:rsidP="006C1192"/>
          <w:p w:rsidR="006C1192" w:rsidRPr="006C1192" w:rsidRDefault="006C1192" w:rsidP="006C1192"/>
          <w:p w:rsidR="006C1192" w:rsidRPr="006C1192" w:rsidRDefault="006C1192" w:rsidP="006C1192"/>
          <w:p w:rsidR="006C1192" w:rsidRPr="006C1192" w:rsidRDefault="006C1192" w:rsidP="006C1192"/>
          <w:p w:rsidR="006C1192" w:rsidRPr="006C1192" w:rsidRDefault="006C1192" w:rsidP="006C1192"/>
          <w:p w:rsidR="006C1192" w:rsidRDefault="006C1192" w:rsidP="006C1192"/>
          <w:p w:rsidR="001F5C84" w:rsidRPr="006C1192" w:rsidRDefault="001F5C84" w:rsidP="006C1192">
            <w:pPr>
              <w:tabs>
                <w:tab w:val="left" w:pos="2985"/>
              </w:tabs>
            </w:pPr>
          </w:p>
        </w:tc>
        <w:tc>
          <w:tcPr>
            <w:tcW w:w="4172" w:type="dxa"/>
            <w:shd w:val="clear" w:color="auto" w:fill="D6E3BC" w:themeFill="accent3" w:themeFillTint="66"/>
          </w:tcPr>
          <w:p w:rsidR="001F5C84" w:rsidRPr="006C1192" w:rsidRDefault="009751EF" w:rsidP="006C1192">
            <w:pPr>
              <w:spacing w:before="120" w:after="120"/>
              <w:rPr>
                <w:lang w:val="it-IT"/>
              </w:rPr>
            </w:pPr>
            <w:r w:rsidRPr="009751EF">
              <w:rPr>
                <w:lang w:val="it-IT"/>
              </w:rPr>
              <w:t>Questa sezione descriverà tutte le eventuali linee guida per la mobilitazione di ogni tipo di risorsa. Si potrebbe trattare di qualsiasi cosa, dalle procedure per l'installazione di un nuovo software sui server dell'organizzazione sede, fino ai meccanismi di assegnazione temporanea del personale interno ai protocolli di sicurezza per il personale a contratto. Molto di questo sarà probabilmente sotto forma di richiami all</w:t>
            </w:r>
            <w:r w:rsidR="006C1192">
              <w:rPr>
                <w:lang w:val="it-IT"/>
              </w:rPr>
              <w:t>e politiche dell’organizzazione.</w:t>
            </w:r>
          </w:p>
        </w:tc>
      </w:tr>
      <w:tr w:rsidR="001F5C84" w:rsidTr="001F5C84">
        <w:tc>
          <w:tcPr>
            <w:tcW w:w="5070" w:type="dxa"/>
          </w:tcPr>
          <w:p w:rsidR="001F5C84" w:rsidRDefault="009751EF" w:rsidP="001F5C84">
            <w:pPr>
              <w:pStyle w:val="Titolo3"/>
              <w:keepNext w:val="0"/>
              <w:pageBreakBefore/>
              <w:spacing w:before="120"/>
              <w:outlineLvl w:val="2"/>
            </w:pPr>
            <w:proofErr w:type="spellStart"/>
            <w:r>
              <w:lastRenderedPageBreak/>
              <w:t>G</w:t>
            </w:r>
            <w:r w:rsidR="00B54900">
              <w:t>estire</w:t>
            </w:r>
            <w:proofErr w:type="spellEnd"/>
          </w:p>
          <w:p w:rsidR="001F5C84" w:rsidRPr="00075246" w:rsidRDefault="001F5C84" w:rsidP="001F5C84">
            <w:pPr>
              <w:keepLines/>
              <w:pageBreakBefore/>
              <w:spacing w:before="120"/>
            </w:pPr>
          </w:p>
        </w:tc>
        <w:tc>
          <w:tcPr>
            <w:tcW w:w="4172" w:type="dxa"/>
            <w:shd w:val="clear" w:color="auto" w:fill="D6E3BC" w:themeFill="accent3" w:themeFillTint="66"/>
          </w:tcPr>
          <w:p w:rsidR="001F5C84" w:rsidRDefault="006C1192" w:rsidP="006C1192">
            <w:pPr>
              <w:keepLines/>
              <w:pageBreakBefore/>
              <w:spacing w:before="120" w:after="120"/>
            </w:pPr>
            <w:r w:rsidRPr="006C1192">
              <w:rPr>
                <w:lang w:val="it-IT"/>
              </w:rPr>
              <w:t>Anche il mo</w:t>
            </w:r>
            <w:bookmarkStart w:id="0" w:name="_GoBack"/>
            <w:bookmarkEnd w:id="0"/>
            <w:r w:rsidRPr="006C1192">
              <w:rPr>
                <w:lang w:val="it-IT"/>
              </w:rPr>
              <w:t xml:space="preserve">do di amministrare e controllare le risorse sarà un argomento di varia natura. Si potrebbe trattare di qualsiasi cosa, da come assicurarsi i beni patrimoniali, a come gestire la linea manageriale del personale assegnato temporaneamente o a come monitorare le prestazioni degli appaltatori. </w:t>
            </w:r>
          </w:p>
        </w:tc>
      </w:tr>
      <w:tr w:rsidR="001F5C84" w:rsidTr="001F5C84">
        <w:tc>
          <w:tcPr>
            <w:tcW w:w="5070" w:type="dxa"/>
          </w:tcPr>
          <w:p w:rsidR="001F5C84" w:rsidRDefault="00B54900" w:rsidP="001F5C84">
            <w:pPr>
              <w:pStyle w:val="Titolo3"/>
              <w:keepNext w:val="0"/>
              <w:spacing w:before="120"/>
              <w:outlineLvl w:val="2"/>
            </w:pPr>
            <w:proofErr w:type="spellStart"/>
            <w:r>
              <w:t>Chiudere</w:t>
            </w:r>
            <w:proofErr w:type="spellEnd"/>
          </w:p>
          <w:p w:rsidR="001F5C84" w:rsidRPr="00075246" w:rsidRDefault="001F5C84" w:rsidP="001F5C84">
            <w:pPr>
              <w:spacing w:before="120"/>
            </w:pPr>
          </w:p>
        </w:tc>
        <w:tc>
          <w:tcPr>
            <w:tcW w:w="4172" w:type="dxa"/>
            <w:shd w:val="clear" w:color="auto" w:fill="D6E3BC" w:themeFill="accent3" w:themeFillTint="66"/>
          </w:tcPr>
          <w:p w:rsidR="001F5C84" w:rsidRDefault="006C1192" w:rsidP="006C1192">
            <w:pPr>
              <w:spacing w:before="120" w:after="120"/>
            </w:pPr>
            <w:r w:rsidRPr="006C1192">
              <w:rPr>
                <w:lang w:val="it-IT"/>
              </w:rPr>
              <w:t xml:space="preserve">La chiusura della procedura di gestione delle risorse riguarderà la dismissione degli </w:t>
            </w:r>
            <w:proofErr w:type="spellStart"/>
            <w:r w:rsidRPr="006C1192">
              <w:rPr>
                <w:lang w:val="it-IT"/>
              </w:rPr>
              <w:t>asset</w:t>
            </w:r>
            <w:proofErr w:type="spellEnd"/>
            <w:r w:rsidRPr="006C1192">
              <w:rPr>
                <w:lang w:val="it-IT"/>
              </w:rPr>
              <w:t xml:space="preserve">, il reimpiego delle risorse interne e la chiusura formale dei contratti. In questa sezione saranno descritte le politiche relative a tutti gli aspetti della chiusura degli accordi riguardanti le risorse. </w:t>
            </w:r>
          </w:p>
        </w:tc>
      </w:tr>
    </w:tbl>
    <w:p w:rsidR="009060E7" w:rsidRPr="00267B12" w:rsidRDefault="009060E7" w:rsidP="00267B12"/>
    <w:sectPr w:rsidR="009060E7" w:rsidRPr="00267B12" w:rsidSect="00B6566D">
      <w:headerReference w:type="default" r:id="rId7"/>
      <w:footerReference w:type="default" r:id="rId8"/>
      <w:pgSz w:w="11906" w:h="16838"/>
      <w:pgMar w:top="1702"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A8B" w:rsidRDefault="00610A8B" w:rsidP="00B134CB">
      <w:pPr>
        <w:spacing w:after="0" w:line="240" w:lineRule="auto"/>
      </w:pPr>
      <w:r>
        <w:separator/>
      </w:r>
    </w:p>
  </w:endnote>
  <w:endnote w:type="continuationSeparator" w:id="0">
    <w:p w:rsidR="00610A8B" w:rsidRDefault="00610A8B"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52" w:rsidRPr="00B54900" w:rsidRDefault="005F4A52" w:rsidP="00620548">
    <w:pPr>
      <w:pStyle w:val="Pidipagina"/>
      <w:jc w:val="right"/>
      <w:rPr>
        <w:lang w:val="it-IT"/>
      </w:rPr>
    </w:pPr>
    <w:r w:rsidRPr="00B6566D">
      <w:rPr>
        <w:noProof/>
        <w:sz w:val="18"/>
        <w:szCs w:val="18"/>
        <w:lang w:val="it-IT" w:eastAsia="it-IT"/>
      </w:rPr>
      <w:drawing>
        <wp:anchor distT="0" distB="0" distL="114300" distR="114300" simplePos="0" relativeHeight="251663360" behindDoc="0" locked="0" layoutInCell="1" allowOverlap="1" wp14:anchorId="38F932C1" wp14:editId="4B1CDC19">
          <wp:simplePos x="0" y="0"/>
          <wp:positionH relativeFrom="column">
            <wp:posOffset>-148590</wp:posOffset>
          </wp:positionH>
          <wp:positionV relativeFrom="paragraph">
            <wp:posOffset>-42707</wp:posOffset>
          </wp:positionV>
          <wp:extent cx="786809" cy="279436"/>
          <wp:effectExtent l="0" t="0" r="0" b="635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B54900" w:rsidRPr="00B54900">
      <w:rPr>
        <w:sz w:val="18"/>
        <w:szCs w:val="18"/>
        <w:lang w:val="it-IT"/>
      </w:rPr>
      <w:t>Template fornito da</w:t>
    </w:r>
    <w:r w:rsidR="00620548" w:rsidRPr="00B54900">
      <w:rPr>
        <w:sz w:val="18"/>
        <w:szCs w:val="18"/>
        <w:lang w:val="it-IT"/>
      </w:rPr>
      <w:t xml:space="preserve"> Praxis Framework Ltd</w:t>
    </w:r>
    <w:r w:rsidR="00620548" w:rsidRPr="00B54900">
      <w:rPr>
        <w:lang w:val="it-IT"/>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A8B" w:rsidRDefault="00610A8B" w:rsidP="00B134CB">
      <w:pPr>
        <w:spacing w:after="0" w:line="240" w:lineRule="auto"/>
      </w:pPr>
      <w:r>
        <w:separator/>
      </w:r>
    </w:p>
  </w:footnote>
  <w:footnote w:type="continuationSeparator" w:id="0">
    <w:p w:rsidR="00610A8B" w:rsidRDefault="00610A8B" w:rsidP="00B1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6D" w:rsidRDefault="00B6566D" w:rsidP="009A39B0">
    <w:pPr>
      <w:pStyle w:val="Intestazione"/>
      <w:ind w:left="-1418"/>
    </w:pPr>
  </w:p>
  <w:p w:rsidR="00383F87" w:rsidRDefault="00000C02" w:rsidP="00B6566D">
    <w:pPr>
      <w:pStyle w:val="Intestazione"/>
    </w:pPr>
    <w:r>
      <w:rPr>
        <w:noProof/>
        <w:lang w:val="it-IT" w:eastAsia="it-IT"/>
      </w:rPr>
      <w:drawing>
        <wp:inline distT="0" distB="0" distL="0" distR="0" wp14:anchorId="2A7FB561" wp14:editId="005E07D5">
          <wp:extent cx="97536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11810"/>
                  </a:xfrm>
                  <a:prstGeom prst="rect">
                    <a:avLst/>
                  </a:prstGeom>
                  <a:noFill/>
                </pic:spPr>
              </pic:pic>
            </a:graphicData>
          </a:graphic>
        </wp:inline>
      </w:drawing>
    </w:r>
    <w:r w:rsidR="00B6566D">
      <w:tab/>
    </w:r>
  </w:p>
  <w:p w:rsidR="00383F87" w:rsidRDefault="00383F87" w:rsidP="00383F87">
    <w:pPr>
      <w:pStyle w:val="Intestazione"/>
      <w:jc w:val="center"/>
    </w:pPr>
  </w:p>
  <w:p w:rsidR="00B134CB" w:rsidRDefault="00B54900" w:rsidP="00383F87">
    <w:pPr>
      <w:pStyle w:val="Intestazione"/>
      <w:jc w:val="center"/>
      <w:rPr>
        <w:sz w:val="44"/>
      </w:rPr>
    </w:pPr>
    <w:r>
      <w:rPr>
        <w:sz w:val="44"/>
      </w:rPr>
      <w:t xml:space="preserve">Piano di </w:t>
    </w:r>
    <w:proofErr w:type="spellStart"/>
    <w:r>
      <w:rPr>
        <w:sz w:val="44"/>
      </w:rPr>
      <w:t>gestione</w:t>
    </w:r>
    <w:proofErr w:type="spellEnd"/>
    <w:r>
      <w:rPr>
        <w:sz w:val="44"/>
      </w:rPr>
      <w:t xml:space="preserve"> delle </w:t>
    </w:r>
    <w:proofErr w:type="spellStart"/>
    <w:r>
      <w:rPr>
        <w:sz w:val="44"/>
      </w:rPr>
      <w:t>risorse</w:t>
    </w:r>
    <w:proofErr w:type="spellEnd"/>
  </w:p>
  <w:p w:rsidR="00000C02" w:rsidRDefault="00000C02" w:rsidP="00383F87">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15:restartNumberingAfterBreak="0">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15:restartNumberingAfterBreak="0">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15:restartNumberingAfterBreak="0">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15:restartNumberingAfterBreak="0">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15:restartNumberingAfterBreak="0">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15:restartNumberingAfterBreak="0">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7"/>
  </w:num>
  <w:num w:numId="6">
    <w:abstractNumId w:val="19"/>
  </w:num>
  <w:num w:numId="7">
    <w:abstractNumId w:val="11"/>
  </w:num>
  <w:num w:numId="8">
    <w:abstractNumId w:val="0"/>
  </w:num>
  <w:num w:numId="9">
    <w:abstractNumId w:val="4"/>
  </w:num>
  <w:num w:numId="10">
    <w:abstractNumId w:val="5"/>
  </w:num>
  <w:num w:numId="11">
    <w:abstractNumId w:val="16"/>
  </w:num>
  <w:num w:numId="12">
    <w:abstractNumId w:val="9"/>
  </w:num>
  <w:num w:numId="13">
    <w:abstractNumId w:val="21"/>
  </w:num>
  <w:num w:numId="14">
    <w:abstractNumId w:val="7"/>
  </w:num>
  <w:num w:numId="15">
    <w:abstractNumId w:val="18"/>
  </w:num>
  <w:num w:numId="16">
    <w:abstractNumId w:val="24"/>
  </w:num>
  <w:num w:numId="17">
    <w:abstractNumId w:val="2"/>
  </w:num>
  <w:num w:numId="18">
    <w:abstractNumId w:val="20"/>
  </w:num>
  <w:num w:numId="19">
    <w:abstractNumId w:val="14"/>
  </w:num>
  <w:num w:numId="20">
    <w:abstractNumId w:val="15"/>
  </w:num>
  <w:num w:numId="21">
    <w:abstractNumId w:val="22"/>
  </w:num>
  <w:num w:numId="22">
    <w:abstractNumId w:val="3"/>
  </w:num>
  <w:num w:numId="23">
    <w:abstractNumId w:val="26"/>
  </w:num>
  <w:num w:numId="24">
    <w:abstractNumId w:val="13"/>
  </w:num>
  <w:num w:numId="25">
    <w:abstractNumId w:val="12"/>
  </w:num>
  <w:num w:numId="26">
    <w:abstractNumId w:val="25"/>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CB"/>
    <w:rsid w:val="00000C02"/>
    <w:rsid w:val="00002F52"/>
    <w:rsid w:val="0001338B"/>
    <w:rsid w:val="00030BAF"/>
    <w:rsid w:val="00070EB1"/>
    <w:rsid w:val="00073DB8"/>
    <w:rsid w:val="00075246"/>
    <w:rsid w:val="000E6C11"/>
    <w:rsid w:val="001045F5"/>
    <w:rsid w:val="001B3A37"/>
    <w:rsid w:val="001C71E7"/>
    <w:rsid w:val="001D2FAE"/>
    <w:rsid w:val="001F5C84"/>
    <w:rsid w:val="00207FED"/>
    <w:rsid w:val="002120D3"/>
    <w:rsid w:val="00217FBC"/>
    <w:rsid w:val="0023548B"/>
    <w:rsid w:val="00235535"/>
    <w:rsid w:val="00246B2B"/>
    <w:rsid w:val="00267B12"/>
    <w:rsid w:val="002B16BD"/>
    <w:rsid w:val="002B5476"/>
    <w:rsid w:val="002C1003"/>
    <w:rsid w:val="002D3217"/>
    <w:rsid w:val="003450DB"/>
    <w:rsid w:val="00360664"/>
    <w:rsid w:val="00361957"/>
    <w:rsid w:val="003673EA"/>
    <w:rsid w:val="00370CAA"/>
    <w:rsid w:val="00383F87"/>
    <w:rsid w:val="00390F4E"/>
    <w:rsid w:val="00392D17"/>
    <w:rsid w:val="003A2602"/>
    <w:rsid w:val="003D1B8B"/>
    <w:rsid w:val="003E35BA"/>
    <w:rsid w:val="003F0C4D"/>
    <w:rsid w:val="0041546A"/>
    <w:rsid w:val="00426ED6"/>
    <w:rsid w:val="00460557"/>
    <w:rsid w:val="00463772"/>
    <w:rsid w:val="00473E79"/>
    <w:rsid w:val="004B038F"/>
    <w:rsid w:val="004E5AC6"/>
    <w:rsid w:val="0050156F"/>
    <w:rsid w:val="00526493"/>
    <w:rsid w:val="00565FEB"/>
    <w:rsid w:val="00585CAD"/>
    <w:rsid w:val="005F4A52"/>
    <w:rsid w:val="00610A8B"/>
    <w:rsid w:val="00620548"/>
    <w:rsid w:val="00621333"/>
    <w:rsid w:val="00661307"/>
    <w:rsid w:val="006A609B"/>
    <w:rsid w:val="006C1192"/>
    <w:rsid w:val="006E32C8"/>
    <w:rsid w:val="006E393A"/>
    <w:rsid w:val="006E7E77"/>
    <w:rsid w:val="00705AE1"/>
    <w:rsid w:val="00707BDC"/>
    <w:rsid w:val="00710D6C"/>
    <w:rsid w:val="007540F1"/>
    <w:rsid w:val="00754EAF"/>
    <w:rsid w:val="007F67E6"/>
    <w:rsid w:val="00805E85"/>
    <w:rsid w:val="00821C33"/>
    <w:rsid w:val="00835FD8"/>
    <w:rsid w:val="0085270D"/>
    <w:rsid w:val="008D09E3"/>
    <w:rsid w:val="009060CE"/>
    <w:rsid w:val="009060E7"/>
    <w:rsid w:val="00942C9C"/>
    <w:rsid w:val="009434F0"/>
    <w:rsid w:val="00954288"/>
    <w:rsid w:val="009751EF"/>
    <w:rsid w:val="009863EC"/>
    <w:rsid w:val="009978EB"/>
    <w:rsid w:val="009A39B0"/>
    <w:rsid w:val="009C22F1"/>
    <w:rsid w:val="009C70BB"/>
    <w:rsid w:val="009C71F6"/>
    <w:rsid w:val="009D282C"/>
    <w:rsid w:val="00A20B0E"/>
    <w:rsid w:val="00A444EA"/>
    <w:rsid w:val="00A57AA4"/>
    <w:rsid w:val="00A616C0"/>
    <w:rsid w:val="00A767B7"/>
    <w:rsid w:val="00A77870"/>
    <w:rsid w:val="00A77B5C"/>
    <w:rsid w:val="00A8539D"/>
    <w:rsid w:val="00AA1758"/>
    <w:rsid w:val="00AE2B6D"/>
    <w:rsid w:val="00AE5353"/>
    <w:rsid w:val="00B07246"/>
    <w:rsid w:val="00B134CB"/>
    <w:rsid w:val="00B3651C"/>
    <w:rsid w:val="00B447BA"/>
    <w:rsid w:val="00B54900"/>
    <w:rsid w:val="00B57969"/>
    <w:rsid w:val="00B6566D"/>
    <w:rsid w:val="00B74CA5"/>
    <w:rsid w:val="00B75171"/>
    <w:rsid w:val="00B90840"/>
    <w:rsid w:val="00BB3736"/>
    <w:rsid w:val="00C14378"/>
    <w:rsid w:val="00C54162"/>
    <w:rsid w:val="00C60D4D"/>
    <w:rsid w:val="00CC491F"/>
    <w:rsid w:val="00D0668E"/>
    <w:rsid w:val="00D07B25"/>
    <w:rsid w:val="00D66A5F"/>
    <w:rsid w:val="00D81B32"/>
    <w:rsid w:val="00DA5B01"/>
    <w:rsid w:val="00DB01A9"/>
    <w:rsid w:val="00DC58E4"/>
    <w:rsid w:val="00E02D21"/>
    <w:rsid w:val="00E24866"/>
    <w:rsid w:val="00E32E16"/>
    <w:rsid w:val="00E9672A"/>
    <w:rsid w:val="00EB3D03"/>
    <w:rsid w:val="00EC0D7C"/>
    <w:rsid w:val="00ED0999"/>
    <w:rsid w:val="00EE5D4A"/>
    <w:rsid w:val="00EF59C9"/>
    <w:rsid w:val="00F37DE7"/>
    <w:rsid w:val="00FA0BF3"/>
    <w:rsid w:val="00FE1571"/>
    <w:rsid w:val="00FE2375"/>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34CB"/>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B134CB"/>
  </w:style>
  <w:style w:type="paragraph" w:styleId="Pidipagina">
    <w:name w:val="footer"/>
    <w:basedOn w:val="Normale"/>
    <w:link w:val="PidipaginaCarattere"/>
    <w:uiPriority w:val="99"/>
    <w:unhideWhenUsed/>
    <w:rsid w:val="00B134CB"/>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B134CB"/>
  </w:style>
  <w:style w:type="paragraph" w:styleId="Testofumetto">
    <w:name w:val="Balloon Text"/>
    <w:basedOn w:val="Normale"/>
    <w:link w:val="TestofumettoCarattere"/>
    <w:uiPriority w:val="99"/>
    <w:semiHidden/>
    <w:unhideWhenUsed/>
    <w:rsid w:val="009A39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39B0"/>
    <w:rPr>
      <w:rFonts w:ascii="Tahoma" w:hAnsi="Tahoma" w:cs="Tahoma"/>
      <w:sz w:val="16"/>
      <w:szCs w:val="16"/>
    </w:rPr>
  </w:style>
  <w:style w:type="paragraph" w:styleId="Nessunaspaziatura">
    <w:name w:val="No Spacing"/>
    <w:uiPriority w:val="1"/>
    <w:qFormat/>
    <w:rsid w:val="00EE5D4A"/>
    <w:pPr>
      <w:spacing w:after="0" w:line="240" w:lineRule="auto"/>
    </w:pPr>
  </w:style>
  <w:style w:type="table" w:styleId="Grigliatabella">
    <w:name w:val="Table Grid"/>
    <w:basedOn w:val="Tabellanormale"/>
    <w:uiPriority w:val="59"/>
    <w:rsid w:val="00E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6E393A"/>
    <w:rPr>
      <w:sz w:val="16"/>
      <w:szCs w:val="16"/>
    </w:rPr>
  </w:style>
  <w:style w:type="paragraph" w:styleId="Testocommento">
    <w:name w:val="annotation text"/>
    <w:basedOn w:val="Normale"/>
    <w:link w:val="TestocommentoCarattere"/>
    <w:uiPriority w:val="99"/>
    <w:unhideWhenUsed/>
    <w:rsid w:val="006E393A"/>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393A"/>
    <w:rPr>
      <w:sz w:val="20"/>
      <w:szCs w:val="20"/>
    </w:rPr>
  </w:style>
  <w:style w:type="paragraph" w:styleId="Soggettocommento">
    <w:name w:val="annotation subject"/>
    <w:basedOn w:val="Testocommento"/>
    <w:next w:val="Testocommento"/>
    <w:link w:val="SoggettocommentoCarattere"/>
    <w:uiPriority w:val="99"/>
    <w:semiHidden/>
    <w:unhideWhenUsed/>
    <w:rsid w:val="006E393A"/>
    <w:rPr>
      <w:b/>
      <w:bCs/>
    </w:rPr>
  </w:style>
  <w:style w:type="character" w:customStyle="1" w:styleId="SoggettocommentoCarattere">
    <w:name w:val="Soggetto commento Carattere"/>
    <w:basedOn w:val="TestocommentoCarattere"/>
    <w:link w:val="Soggettocommento"/>
    <w:uiPriority w:val="99"/>
    <w:semiHidden/>
    <w:rsid w:val="006E393A"/>
    <w:rPr>
      <w:b/>
      <w:bCs/>
      <w:sz w:val="20"/>
      <w:szCs w:val="20"/>
    </w:rPr>
  </w:style>
  <w:style w:type="paragraph" w:styleId="Sommario2">
    <w:name w:val="toc 2"/>
    <w:basedOn w:val="Normale"/>
    <w:next w:val="Normale"/>
    <w:autoRedefine/>
    <w:uiPriority w:val="39"/>
    <w:unhideWhenUsed/>
    <w:rsid w:val="00621333"/>
    <w:pPr>
      <w:spacing w:after="100"/>
      <w:ind w:left="220"/>
    </w:pPr>
  </w:style>
  <w:style w:type="paragraph" w:styleId="Paragrafoelenco">
    <w:name w:val="List Paragraph"/>
    <w:basedOn w:val="Normale"/>
    <w:uiPriority w:val="34"/>
    <w:qFormat/>
    <w:rsid w:val="00621333"/>
    <w:pPr>
      <w:ind w:left="720"/>
      <w:contextualSpacing/>
    </w:pPr>
  </w:style>
  <w:style w:type="character" w:styleId="Collegamentoipertestuale">
    <w:name w:val="Hyperlink"/>
    <w:basedOn w:val="Carpredefinitoparagrafo"/>
    <w:uiPriority w:val="99"/>
    <w:unhideWhenUsed/>
    <w:rsid w:val="00621333"/>
    <w:rPr>
      <w:color w:val="0000FF" w:themeColor="hyperlink"/>
      <w:u w:val="single"/>
    </w:rPr>
  </w:style>
  <w:style w:type="character" w:styleId="Collegamentovisitato">
    <w:name w:val="FollowedHyperlink"/>
    <w:basedOn w:val="Carpredefinitoparagrafo"/>
    <w:uiPriority w:val="99"/>
    <w:semiHidden/>
    <w:unhideWhenUsed/>
    <w:rsid w:val="00621333"/>
    <w:rPr>
      <w:color w:val="800080" w:themeColor="followedHyperlink"/>
      <w:u w:val="single"/>
    </w:rPr>
  </w:style>
  <w:style w:type="character" w:customStyle="1" w:styleId="Titolo2Carattere">
    <w:name w:val="Titolo 2 Carattere"/>
    <w:basedOn w:val="Carpredefinitoparagrafo"/>
    <w:link w:val="Titolo2"/>
    <w:uiPriority w:val="9"/>
    <w:rsid w:val="003673EA"/>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704</Words>
  <Characters>4014</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user</cp:lastModifiedBy>
  <cp:revision>3</cp:revision>
  <cp:lastPrinted>2013-11-06T15:48:00Z</cp:lastPrinted>
  <dcterms:created xsi:type="dcterms:W3CDTF">2016-06-20T14:29:00Z</dcterms:created>
  <dcterms:modified xsi:type="dcterms:W3CDTF">2016-06-22T09:18:00Z</dcterms:modified>
</cp:coreProperties>
</file>