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06"/>
        <w:gridCol w:w="1577"/>
        <w:gridCol w:w="1377"/>
      </w:tblGrid>
      <w:tr w:rsidR="00267B12" w:rsidRPr="000346BC" w:rsidTr="004572F2">
        <w:tc>
          <w:tcPr>
            <w:tcW w:w="2518" w:type="dxa"/>
          </w:tcPr>
          <w:p w:rsidR="00267B12" w:rsidRPr="000346BC" w:rsidRDefault="000346BC" w:rsidP="000346BC">
            <w:pPr>
              <w:pStyle w:val="Titolo3"/>
              <w:spacing w:after="120"/>
              <w:outlineLvl w:val="2"/>
              <w:rPr>
                <w:lang w:val="it-IT"/>
              </w:rPr>
            </w:pPr>
            <w:r w:rsidRPr="000346BC">
              <w:rPr>
                <w:lang w:val="it-IT"/>
              </w:rPr>
              <w:t>Nome del Progetto</w:t>
            </w:r>
            <w:r w:rsidR="00267B12" w:rsidRPr="000346BC">
              <w:rPr>
                <w:lang w:val="it-IT"/>
              </w:rPr>
              <w:t>/Tranche/</w:t>
            </w:r>
            <w:r w:rsidRPr="000346BC">
              <w:rPr>
                <w:lang w:val="it-IT"/>
              </w:rPr>
              <w:t xml:space="preserve">Programma </w:t>
            </w:r>
          </w:p>
        </w:tc>
        <w:tc>
          <w:tcPr>
            <w:tcW w:w="6724" w:type="dxa"/>
            <w:gridSpan w:val="3"/>
          </w:tcPr>
          <w:p w:rsidR="00267B12" w:rsidRPr="000346BC" w:rsidRDefault="00267B12" w:rsidP="004572F2">
            <w:pPr>
              <w:spacing w:before="200"/>
              <w:rPr>
                <w:i/>
                <w:lang w:val="it-IT"/>
              </w:rPr>
            </w:pPr>
          </w:p>
        </w:tc>
      </w:tr>
      <w:tr w:rsidR="00267B12" w:rsidTr="004572F2">
        <w:tc>
          <w:tcPr>
            <w:tcW w:w="2518" w:type="dxa"/>
          </w:tcPr>
          <w:p w:rsidR="00267B12" w:rsidRPr="009C71F6" w:rsidRDefault="000346BC" w:rsidP="004572F2">
            <w:pPr>
              <w:pStyle w:val="Titolo3"/>
              <w:outlineLvl w:val="2"/>
            </w:pPr>
            <w:r>
              <w:t>Data</w:t>
            </w:r>
            <w:r w:rsidR="00267B12" w:rsidRPr="009C71F6">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0346BC">
            <w:pPr>
              <w:pStyle w:val="Titolo3"/>
              <w:outlineLvl w:val="2"/>
            </w:pPr>
            <w:proofErr w:type="spellStart"/>
            <w:r>
              <w:t>Aut</w:t>
            </w:r>
            <w:r w:rsidR="000346BC">
              <w:t>ore</w:t>
            </w:r>
            <w:proofErr w:type="spellEnd"/>
            <w:r>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0346BC" w:rsidTr="004572F2">
        <w:tc>
          <w:tcPr>
            <w:tcW w:w="2518" w:type="dxa"/>
          </w:tcPr>
          <w:p w:rsidR="00267B12" w:rsidRPr="009C71F6" w:rsidRDefault="000346BC" w:rsidP="000346BC">
            <w:pPr>
              <w:pStyle w:val="Titolo3"/>
              <w:outlineLvl w:val="2"/>
            </w:pPr>
            <w:proofErr w:type="spellStart"/>
            <w:r>
              <w:t>Riferimento</w:t>
            </w:r>
            <w:proofErr w:type="spellEnd"/>
            <w:r>
              <w:t xml:space="preserve"> del </w:t>
            </w:r>
            <w:proofErr w:type="spellStart"/>
            <w:r>
              <w:t>documento</w:t>
            </w:r>
            <w:proofErr w:type="spellEnd"/>
            <w:r w:rsidR="00267B12">
              <w:t>:</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Titolo3"/>
              <w:outlineLvl w:val="2"/>
            </w:pPr>
            <w:proofErr w:type="spellStart"/>
            <w:r>
              <w:t>Version</w:t>
            </w:r>
            <w:r w:rsidR="000346BC">
              <w:t>e</w:t>
            </w:r>
            <w:proofErr w:type="spellEnd"/>
            <w:r>
              <w:t>:</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0346BC" w:rsidP="00267B12">
      <w:pPr>
        <w:pStyle w:val="Titolo2"/>
      </w:pPr>
      <w:proofErr w:type="spellStart"/>
      <w:r>
        <w:t>Cronologia</w:t>
      </w:r>
      <w:proofErr w:type="spellEnd"/>
      <w:r>
        <w:t xml:space="preserve"> delle </w:t>
      </w:r>
      <w:proofErr w:type="spellStart"/>
      <w:r>
        <w:t>Revisioni</w:t>
      </w:r>
      <w:proofErr w:type="spellEnd"/>
    </w:p>
    <w:p w:rsidR="00267B12" w:rsidRPr="009060CE" w:rsidRDefault="00267B12" w:rsidP="00267B12">
      <w:pPr>
        <w:pStyle w:val="Nessunaspaziatura"/>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3"/>
        <w:gridCol w:w="5652"/>
        <w:gridCol w:w="1871"/>
      </w:tblGrid>
      <w:tr w:rsidR="000346BC" w:rsidTr="004572F2">
        <w:tc>
          <w:tcPr>
            <w:tcW w:w="1526" w:type="dxa"/>
            <w:shd w:val="clear" w:color="auto" w:fill="F2F2F2" w:themeFill="background1" w:themeFillShade="F2"/>
          </w:tcPr>
          <w:p w:rsidR="00267B12" w:rsidRPr="009C71F6" w:rsidRDefault="00267B12" w:rsidP="000346BC">
            <w:pPr>
              <w:jc w:val="center"/>
            </w:pPr>
            <w:r>
              <w:t>Dat</w:t>
            </w:r>
            <w:r w:rsidR="000346BC">
              <w:t>a</w:t>
            </w:r>
          </w:p>
        </w:tc>
        <w:tc>
          <w:tcPr>
            <w:tcW w:w="5812" w:type="dxa"/>
            <w:shd w:val="clear" w:color="auto" w:fill="F2F2F2" w:themeFill="background1" w:themeFillShade="F2"/>
          </w:tcPr>
          <w:p w:rsidR="00267B12" w:rsidRDefault="000346BC" w:rsidP="000346BC">
            <w:pPr>
              <w:jc w:val="center"/>
            </w:pPr>
            <w:proofErr w:type="spellStart"/>
            <w:r>
              <w:t>Riepilogo</w:t>
            </w:r>
            <w:proofErr w:type="spellEnd"/>
            <w:r>
              <w:t xml:space="preserve"> delle </w:t>
            </w:r>
            <w:proofErr w:type="spellStart"/>
            <w:r>
              <w:t>responsabilità</w:t>
            </w:r>
            <w:proofErr w:type="spellEnd"/>
          </w:p>
        </w:tc>
        <w:tc>
          <w:tcPr>
            <w:tcW w:w="1904" w:type="dxa"/>
            <w:shd w:val="clear" w:color="auto" w:fill="F2F2F2" w:themeFill="background1" w:themeFillShade="F2"/>
          </w:tcPr>
          <w:p w:rsidR="00267B12" w:rsidRDefault="00267B12" w:rsidP="004572F2">
            <w:pPr>
              <w:jc w:val="center"/>
            </w:pPr>
            <w:proofErr w:type="spellStart"/>
            <w:r>
              <w:t>Version</w:t>
            </w:r>
            <w:r w:rsidR="000346BC">
              <w:t>e</w:t>
            </w:r>
            <w:proofErr w:type="spellEnd"/>
          </w:p>
        </w:tc>
      </w:tr>
      <w:tr w:rsidR="000346BC"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0346BC"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Approva</w:t>
      </w:r>
      <w:r w:rsidR="000346BC">
        <w:rPr>
          <w:rFonts w:asciiTheme="majorHAnsi" w:eastAsiaTheme="majorEastAsia" w:hAnsiTheme="majorHAnsi" w:cstheme="majorBidi"/>
          <w:b/>
          <w:bCs/>
          <w:color w:val="4F81BD" w:themeColor="accent1"/>
          <w:sz w:val="26"/>
          <w:szCs w:val="26"/>
        </w:rPr>
        <w:t>zioni</w:t>
      </w:r>
      <w:proofErr w:type="spellEnd"/>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78"/>
        <w:gridCol w:w="1834"/>
        <w:gridCol w:w="1859"/>
        <w:gridCol w:w="1909"/>
        <w:gridCol w:w="1936"/>
      </w:tblGrid>
      <w:tr w:rsidR="000346BC" w:rsidTr="004572F2">
        <w:tc>
          <w:tcPr>
            <w:tcW w:w="1526" w:type="dxa"/>
            <w:shd w:val="clear" w:color="auto" w:fill="F2F2F2" w:themeFill="background1" w:themeFillShade="F2"/>
            <w:vAlign w:val="center"/>
          </w:tcPr>
          <w:p w:rsidR="00267B12" w:rsidRPr="009C71F6" w:rsidRDefault="00267B12" w:rsidP="000346BC">
            <w:pPr>
              <w:jc w:val="center"/>
            </w:pPr>
            <w:r>
              <w:t>N</w:t>
            </w:r>
            <w:r w:rsidR="000346BC">
              <w:t>ome</w:t>
            </w:r>
          </w:p>
        </w:tc>
        <w:tc>
          <w:tcPr>
            <w:tcW w:w="1890" w:type="dxa"/>
            <w:shd w:val="clear" w:color="auto" w:fill="F2F2F2" w:themeFill="background1" w:themeFillShade="F2"/>
            <w:vAlign w:val="center"/>
          </w:tcPr>
          <w:p w:rsidR="00267B12" w:rsidRDefault="00267B12" w:rsidP="004572F2">
            <w:pPr>
              <w:jc w:val="center"/>
            </w:pPr>
            <w:proofErr w:type="spellStart"/>
            <w:r>
              <w:t>Version</w:t>
            </w:r>
            <w:r w:rsidR="000346BC">
              <w:t>e</w:t>
            </w:r>
            <w:proofErr w:type="spellEnd"/>
          </w:p>
        </w:tc>
        <w:tc>
          <w:tcPr>
            <w:tcW w:w="1942" w:type="dxa"/>
            <w:shd w:val="clear" w:color="auto" w:fill="F2F2F2" w:themeFill="background1" w:themeFillShade="F2"/>
            <w:vAlign w:val="center"/>
          </w:tcPr>
          <w:p w:rsidR="00267B12" w:rsidRDefault="00267B12" w:rsidP="000346BC">
            <w:pPr>
              <w:jc w:val="center"/>
            </w:pPr>
            <w:r>
              <w:t>Dat</w:t>
            </w:r>
            <w:r w:rsidR="000346BC">
              <w:t>a</w:t>
            </w:r>
          </w:p>
        </w:tc>
        <w:tc>
          <w:tcPr>
            <w:tcW w:w="1942" w:type="dxa"/>
            <w:shd w:val="clear" w:color="auto" w:fill="F2F2F2" w:themeFill="background1" w:themeFillShade="F2"/>
            <w:vAlign w:val="center"/>
          </w:tcPr>
          <w:p w:rsidR="00267B12" w:rsidRDefault="000346BC" w:rsidP="000346BC">
            <w:pPr>
              <w:jc w:val="center"/>
            </w:pPr>
            <w:proofErr w:type="spellStart"/>
            <w:r>
              <w:t>Contesto</w:t>
            </w:r>
            <w:proofErr w:type="spellEnd"/>
            <w:r>
              <w:t xml:space="preserve"> di </w:t>
            </w:r>
            <w:proofErr w:type="spellStart"/>
            <w:r>
              <w:t>approvazione</w:t>
            </w:r>
            <w:proofErr w:type="spellEnd"/>
          </w:p>
        </w:tc>
        <w:tc>
          <w:tcPr>
            <w:tcW w:w="1942" w:type="dxa"/>
            <w:shd w:val="clear" w:color="auto" w:fill="F2F2F2" w:themeFill="background1" w:themeFillShade="F2"/>
            <w:vAlign w:val="center"/>
          </w:tcPr>
          <w:p w:rsidR="00267B12" w:rsidRDefault="000346BC" w:rsidP="000346BC">
            <w:pPr>
              <w:jc w:val="center"/>
            </w:pPr>
            <w:r>
              <w:t>Firma</w:t>
            </w:r>
          </w:p>
        </w:tc>
      </w:tr>
      <w:tr w:rsidR="000346BC" w:rsidRPr="000346BC"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Pr="000346BC" w:rsidRDefault="000346BC" w:rsidP="00C64E93">
            <w:pPr>
              <w:spacing w:before="120" w:after="120"/>
              <w:rPr>
                <w:i/>
                <w:lang w:val="it-IT"/>
              </w:rPr>
            </w:pPr>
            <w:r w:rsidRPr="0067385C">
              <w:rPr>
                <w:i/>
                <w:lang w:val="it-IT"/>
              </w:rPr>
              <w:t>Questo document</w:t>
            </w:r>
            <w:r>
              <w:rPr>
                <w:i/>
                <w:lang w:val="it-IT"/>
              </w:rPr>
              <w:t>o</w:t>
            </w:r>
            <w:r w:rsidRPr="0067385C">
              <w:rPr>
                <w:i/>
                <w:lang w:val="it-IT"/>
              </w:rPr>
              <w:t>, insieme agli altri piani di gestione, dovrebbe essere approvato nell’ambito del processo di definizione</w:t>
            </w:r>
            <w:r>
              <w:rPr>
                <w:i/>
                <w:lang w:val="it-IT"/>
              </w:rPr>
              <w:t>.</w:t>
            </w:r>
          </w:p>
        </w:tc>
        <w:tc>
          <w:tcPr>
            <w:tcW w:w="1942" w:type="dxa"/>
          </w:tcPr>
          <w:p w:rsidR="00267B12" w:rsidRPr="000346BC" w:rsidRDefault="000346BC" w:rsidP="00C64E93">
            <w:pPr>
              <w:spacing w:before="120" w:after="120"/>
              <w:rPr>
                <w:rFonts w:asciiTheme="majorHAnsi" w:eastAsiaTheme="majorEastAsia" w:hAnsiTheme="majorHAnsi" w:cstheme="majorBidi"/>
                <w:b/>
                <w:bCs/>
                <w:i/>
                <w:color w:val="4F81BD" w:themeColor="accent1"/>
                <w:sz w:val="26"/>
                <w:szCs w:val="26"/>
                <w:lang w:val="it-IT"/>
              </w:rPr>
            </w:pPr>
            <w:r w:rsidRPr="00412DDE">
              <w:rPr>
                <w:i/>
                <w:lang w:val="it-IT"/>
              </w:rPr>
              <w:t>La firma della persona che concede l’approvazione, di solito lo sponsor. Se lo sponsor non dà la sua approvazione, la colonna ‘contesto dell’approvazione’ dovrebbe spiegarne le ragioni</w:t>
            </w:r>
            <w:r>
              <w:rPr>
                <w:i/>
                <w:lang w:val="it-IT"/>
              </w:rPr>
              <w:t>.</w:t>
            </w:r>
          </w:p>
        </w:tc>
      </w:tr>
      <w:tr w:rsidR="000346BC" w:rsidRPr="000346BC" w:rsidTr="004572F2">
        <w:tc>
          <w:tcPr>
            <w:tcW w:w="1526" w:type="dxa"/>
          </w:tcPr>
          <w:p w:rsidR="00267B12" w:rsidRPr="000346BC" w:rsidRDefault="00267B12" w:rsidP="004572F2">
            <w:pPr>
              <w:rPr>
                <w:lang w:val="it-IT"/>
              </w:rPr>
            </w:pPr>
          </w:p>
        </w:tc>
        <w:tc>
          <w:tcPr>
            <w:tcW w:w="1890" w:type="dxa"/>
          </w:tcPr>
          <w:p w:rsidR="00267B12" w:rsidRPr="000346BC"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0346BC"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0346BC"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0346BC" w:rsidRDefault="00267B12" w:rsidP="004572F2">
            <w:pPr>
              <w:rPr>
                <w:rFonts w:asciiTheme="majorHAnsi" w:eastAsiaTheme="majorEastAsia" w:hAnsiTheme="majorHAnsi" w:cstheme="majorBidi"/>
                <w:b/>
                <w:bCs/>
                <w:color w:val="4F81BD" w:themeColor="accent1"/>
                <w:sz w:val="26"/>
                <w:szCs w:val="26"/>
                <w:lang w:val="it-IT"/>
              </w:rPr>
            </w:pPr>
          </w:p>
        </w:tc>
      </w:tr>
    </w:tbl>
    <w:p w:rsidR="00267B12" w:rsidRPr="000346BC" w:rsidRDefault="00267B12" w:rsidP="00267B12">
      <w:pPr>
        <w:spacing w:afterLines="120" w:after="288"/>
        <w:rPr>
          <w:rFonts w:asciiTheme="majorHAnsi" w:eastAsiaTheme="majorEastAsia" w:hAnsiTheme="majorHAnsi" w:cstheme="majorBidi"/>
          <w:b/>
          <w:bCs/>
          <w:color w:val="4F81BD" w:themeColor="accent1"/>
          <w:sz w:val="26"/>
          <w:szCs w:val="26"/>
          <w:lang w:val="it-IT"/>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Distribu</w:t>
      </w:r>
      <w:r w:rsidR="000346BC">
        <w:rPr>
          <w:rFonts w:asciiTheme="majorHAnsi" w:eastAsiaTheme="majorEastAsia" w:hAnsiTheme="majorHAnsi" w:cstheme="majorBidi"/>
          <w:b/>
          <w:bCs/>
          <w:color w:val="4F81BD" w:themeColor="accent1"/>
          <w:sz w:val="26"/>
          <w:szCs w:val="26"/>
        </w:rPr>
        <w:t>zione</w:t>
      </w:r>
      <w:proofErr w:type="spellEnd"/>
    </w:p>
    <w:tbl>
      <w:tblPr>
        <w:tblStyle w:val="Grigliatabella"/>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0346BC">
            <w:pPr>
              <w:jc w:val="center"/>
            </w:pPr>
            <w:proofErr w:type="spellStart"/>
            <w:r>
              <w:t>Distribu</w:t>
            </w:r>
            <w:r w:rsidR="000346BC">
              <w:t>ito</w:t>
            </w:r>
            <w:proofErr w:type="spellEnd"/>
            <w:r w:rsidR="000346BC">
              <w:t xml:space="preserve"> a</w:t>
            </w:r>
            <w:r>
              <w:t>:</w:t>
            </w:r>
          </w:p>
        </w:tc>
        <w:tc>
          <w:tcPr>
            <w:tcW w:w="1957" w:type="dxa"/>
            <w:shd w:val="clear" w:color="auto" w:fill="F2F2F2" w:themeFill="background1" w:themeFillShade="F2"/>
            <w:vAlign w:val="center"/>
          </w:tcPr>
          <w:p w:rsidR="00267B12" w:rsidRDefault="00267B12" w:rsidP="004572F2">
            <w:pPr>
              <w:jc w:val="center"/>
            </w:pPr>
            <w:proofErr w:type="spellStart"/>
            <w:r>
              <w:t>Version</w:t>
            </w:r>
            <w:r w:rsidR="000346BC">
              <w:t>e</w:t>
            </w:r>
            <w:proofErr w:type="spellEnd"/>
          </w:p>
        </w:tc>
        <w:tc>
          <w:tcPr>
            <w:tcW w:w="1958" w:type="dxa"/>
            <w:shd w:val="clear" w:color="auto" w:fill="F2F2F2" w:themeFill="background1" w:themeFillShade="F2"/>
            <w:vAlign w:val="center"/>
          </w:tcPr>
          <w:p w:rsidR="00267B12" w:rsidRDefault="00267B12" w:rsidP="000346BC">
            <w:pPr>
              <w:jc w:val="center"/>
            </w:pPr>
            <w:r>
              <w:t>Dat</w:t>
            </w:r>
            <w:r w:rsidR="000346BC">
              <w:t>a</w:t>
            </w:r>
          </w:p>
        </w:tc>
        <w:tc>
          <w:tcPr>
            <w:tcW w:w="1958" w:type="dxa"/>
            <w:shd w:val="clear" w:color="auto" w:fill="F2F2F2" w:themeFill="background1" w:themeFillShade="F2"/>
            <w:vAlign w:val="center"/>
          </w:tcPr>
          <w:p w:rsidR="00267B12" w:rsidRDefault="000346BC" w:rsidP="000346BC">
            <w:pPr>
              <w:jc w:val="center"/>
            </w:pPr>
            <w:r>
              <w:t>Firma</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Titolo2"/>
      </w:pPr>
    </w:p>
    <w:p w:rsidR="00267B12" w:rsidRDefault="000346BC" w:rsidP="00267B12">
      <w:pPr>
        <w:pStyle w:val="Titolo2"/>
      </w:pPr>
      <w:proofErr w:type="spellStart"/>
      <w:r>
        <w:t>Politica</w:t>
      </w:r>
      <w:proofErr w:type="spellEnd"/>
    </w:p>
    <w:p w:rsidR="00267B12" w:rsidRPr="003F0C4D"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5070"/>
        <w:gridCol w:w="4172"/>
      </w:tblGrid>
      <w:tr w:rsidR="002E0865" w:rsidRPr="000346BC" w:rsidTr="002E0865">
        <w:tc>
          <w:tcPr>
            <w:tcW w:w="5070" w:type="dxa"/>
          </w:tcPr>
          <w:p w:rsidR="002E0865" w:rsidRDefault="002E0865" w:rsidP="002E0865">
            <w:pPr>
              <w:pStyle w:val="Titolo3"/>
              <w:keepNext w:val="0"/>
              <w:spacing w:before="120"/>
              <w:outlineLvl w:val="2"/>
            </w:pPr>
            <w:proofErr w:type="spellStart"/>
            <w:r>
              <w:t>Introdu</w:t>
            </w:r>
            <w:r w:rsidR="000346BC">
              <w:t>zione</w:t>
            </w:r>
            <w:proofErr w:type="spellEnd"/>
          </w:p>
          <w:p w:rsidR="002E0865" w:rsidRPr="009D282C" w:rsidRDefault="002E0865" w:rsidP="002E0865">
            <w:pPr>
              <w:spacing w:before="120" w:after="120"/>
            </w:pPr>
          </w:p>
        </w:tc>
        <w:tc>
          <w:tcPr>
            <w:tcW w:w="4172" w:type="dxa"/>
            <w:shd w:val="clear" w:color="auto" w:fill="D6E3BC" w:themeFill="accent3" w:themeFillTint="66"/>
          </w:tcPr>
          <w:p w:rsidR="000346BC" w:rsidRPr="000346BC" w:rsidRDefault="000346BC" w:rsidP="000346BC">
            <w:pPr>
              <w:spacing w:before="120" w:after="120"/>
              <w:rPr>
                <w:lang w:val="it-IT"/>
              </w:rPr>
            </w:pPr>
            <w:r w:rsidRPr="000346BC">
              <w:rPr>
                <w:lang w:val="it-IT"/>
              </w:rPr>
              <w:t>Questo</w:t>
            </w:r>
            <w:r w:rsidRPr="000346BC">
              <w:rPr>
                <w:lang w:val="it-IT"/>
              </w:rPr>
              <w:t xml:space="preserve"> documento deve necessariamente tenere in considerazione il contesto del lavoro. Per esempio, un piano di gestione del rischio prodotto per un progetto di costruzione di piccole dimensioni e a sé stante risulterà abbastanza diverso da uno inerente un grande progetto IT facente parte di un programma di cambiamento del business. </w:t>
            </w:r>
          </w:p>
          <w:p w:rsidR="000346BC" w:rsidRPr="000346BC" w:rsidRDefault="000346BC" w:rsidP="000346BC">
            <w:pPr>
              <w:spacing w:before="120" w:after="120"/>
              <w:rPr>
                <w:lang w:val="it-IT"/>
              </w:rPr>
            </w:pPr>
            <w:r w:rsidRPr="000346BC">
              <w:rPr>
                <w:lang w:val="it-IT"/>
              </w:rPr>
              <w:t>L'introduzione descriverà il retroterra del lavoro e farà chiarezza sulle relazioni fra questo documento e gli altri documenti pertinenti, quali ad esempio il piano di gestione degli stakeholder o le politiche dell'organizzazione sede, del programma di riferimento o del portfolio.</w:t>
            </w:r>
          </w:p>
          <w:p w:rsidR="002E0865" w:rsidRPr="000346BC" w:rsidRDefault="000346BC" w:rsidP="000346BC">
            <w:pPr>
              <w:spacing w:before="120" w:after="120"/>
              <w:rPr>
                <w:lang w:val="it-IT"/>
              </w:rPr>
            </w:pPr>
            <w:r w:rsidRPr="000346BC">
              <w:rPr>
                <w:lang w:val="it-IT"/>
              </w:rPr>
              <w:t>Si può descrivere la propensione al rischio per assicurare una reale comprensione della quantità di rischio accettabile nel perseguimento degli obiettivi.</w:t>
            </w:r>
          </w:p>
        </w:tc>
      </w:tr>
      <w:tr w:rsidR="002E0865" w:rsidRPr="006855A9" w:rsidTr="002E0865">
        <w:tc>
          <w:tcPr>
            <w:tcW w:w="5070" w:type="dxa"/>
          </w:tcPr>
          <w:p w:rsidR="002E0865" w:rsidRDefault="002E0865" w:rsidP="002E0865">
            <w:pPr>
              <w:pStyle w:val="Titolo3"/>
              <w:keepNext w:val="0"/>
              <w:spacing w:before="120"/>
              <w:outlineLvl w:val="2"/>
            </w:pPr>
            <w:proofErr w:type="spellStart"/>
            <w:r>
              <w:t>R</w:t>
            </w:r>
            <w:r w:rsidR="000346BC">
              <w:t>uoli</w:t>
            </w:r>
            <w:proofErr w:type="spellEnd"/>
            <w:r w:rsidR="000346BC">
              <w:t xml:space="preserve"> e </w:t>
            </w:r>
            <w:proofErr w:type="spellStart"/>
            <w:r w:rsidR="000346BC">
              <w:t>responsabilità</w:t>
            </w:r>
            <w:proofErr w:type="spellEnd"/>
          </w:p>
          <w:p w:rsidR="002E0865" w:rsidRPr="00A57AA4" w:rsidRDefault="002E0865" w:rsidP="002E0865">
            <w:pPr>
              <w:spacing w:before="120" w:after="120"/>
            </w:pPr>
          </w:p>
        </w:tc>
        <w:tc>
          <w:tcPr>
            <w:tcW w:w="4172" w:type="dxa"/>
            <w:shd w:val="clear" w:color="auto" w:fill="D6E3BC" w:themeFill="accent3" w:themeFillTint="66"/>
          </w:tcPr>
          <w:p w:rsidR="006855A9" w:rsidRDefault="000346BC" w:rsidP="006855A9">
            <w:pPr>
              <w:spacing w:before="120" w:after="120"/>
              <w:rPr>
                <w:lang w:val="it-IT"/>
              </w:rPr>
            </w:pPr>
            <w:r w:rsidRPr="000346BC">
              <w:rPr>
                <w:lang w:val="it-IT"/>
              </w:rPr>
              <w:t xml:space="preserve">L'attribuzione della responsabilità relativa alla gestione del rischio può variare dal </w:t>
            </w:r>
            <w:proofErr w:type="spellStart"/>
            <w:r w:rsidRPr="000346BC">
              <w:rPr>
                <w:lang w:val="it-IT"/>
              </w:rPr>
              <w:t>project</w:t>
            </w:r>
            <w:proofErr w:type="spellEnd"/>
            <w:r w:rsidRPr="000346BC">
              <w:rPr>
                <w:lang w:val="it-IT"/>
              </w:rPr>
              <w:t xml:space="preserve"> manager per i progetti più piccoli fino a un team dedicato di specialisti in un programma di grandi dimensioni o in un portfolio. Questa sezione del piano di gestione deve chiaramente descrivere su quali ruoli ricadono le singole specifiche responsabilità rigu</w:t>
            </w:r>
            <w:r w:rsidR="006855A9">
              <w:rPr>
                <w:lang w:val="it-IT"/>
              </w:rPr>
              <w:t>ardo alla gestione del rischio.</w:t>
            </w:r>
          </w:p>
          <w:p w:rsidR="002E0865" w:rsidRPr="006855A9" w:rsidRDefault="006855A9" w:rsidP="006855A9">
            <w:pPr>
              <w:spacing w:before="120" w:after="120"/>
              <w:rPr>
                <w:lang w:val="it-IT"/>
              </w:rPr>
            </w:pPr>
            <w:r w:rsidRPr="006855A9">
              <w:rPr>
                <w:lang w:val="it-IT"/>
              </w:rPr>
              <w:t>Illustrerà inoltre le procedure di escalation e di comunicazione in seno alla struttura dell’organizzazione di progetto, programma e portfolio.</w:t>
            </w:r>
          </w:p>
        </w:tc>
      </w:tr>
      <w:tr w:rsidR="002E0865" w:rsidRPr="006855A9" w:rsidTr="002E0865">
        <w:tc>
          <w:tcPr>
            <w:tcW w:w="5070" w:type="dxa"/>
          </w:tcPr>
          <w:p w:rsidR="002E0865" w:rsidRDefault="006855A9" w:rsidP="002E0865">
            <w:pPr>
              <w:pStyle w:val="Titolo3"/>
              <w:spacing w:before="120"/>
              <w:outlineLvl w:val="2"/>
            </w:pPr>
            <w:proofErr w:type="spellStart"/>
            <w:r>
              <w:lastRenderedPageBreak/>
              <w:t>Gestione</w:t>
            </w:r>
            <w:proofErr w:type="spellEnd"/>
            <w:r>
              <w:t xml:space="preserve"> delle </w:t>
            </w:r>
            <w:proofErr w:type="spellStart"/>
            <w:r>
              <w:t>informazioni</w:t>
            </w:r>
            <w:proofErr w:type="spellEnd"/>
          </w:p>
          <w:p w:rsidR="002E0865" w:rsidRPr="00A57AA4" w:rsidRDefault="002E0865" w:rsidP="002E0865">
            <w:pPr>
              <w:keepNext/>
              <w:keepLines/>
              <w:spacing w:before="120"/>
            </w:pPr>
          </w:p>
        </w:tc>
        <w:tc>
          <w:tcPr>
            <w:tcW w:w="4172" w:type="dxa"/>
            <w:shd w:val="clear" w:color="auto" w:fill="D6E3BC" w:themeFill="accent3" w:themeFillTint="66"/>
          </w:tcPr>
          <w:p w:rsidR="006855A9" w:rsidRPr="006855A9" w:rsidRDefault="006855A9" w:rsidP="006855A9">
            <w:pPr>
              <w:keepNext/>
              <w:keepLines/>
              <w:spacing w:before="120" w:after="120"/>
              <w:rPr>
                <w:lang w:val="it-IT"/>
              </w:rPr>
            </w:pPr>
            <w:r w:rsidRPr="006855A9">
              <w:rPr>
                <w:lang w:val="it-IT"/>
              </w:rPr>
              <w:t>In questa sezione saranno definiti la composizione e il formato di un registro dei rischi e di ogni altro eventuale documento specialistico relativo alla gestione del rischio. È importante adattare l'ambito del registro dei rischi alle esigenze del lavoro. Ad esempio, alcuni campi del registro sono importanti se è necessario aggregare il rischio di più progetti o programmi, ma in tutti gli altri casi non fanno che complicare eccessivamente il documento</w:t>
            </w:r>
            <w:r>
              <w:rPr>
                <w:lang w:val="it-IT"/>
              </w:rPr>
              <w:t xml:space="preserve"> e aggiungere solo burocrazia. </w:t>
            </w:r>
          </w:p>
          <w:p w:rsidR="002E0865" w:rsidRPr="006855A9" w:rsidRDefault="006855A9" w:rsidP="006855A9">
            <w:pPr>
              <w:keepNext/>
              <w:keepLines/>
              <w:spacing w:before="120" w:after="120"/>
              <w:rPr>
                <w:lang w:val="it-IT"/>
              </w:rPr>
            </w:pPr>
            <w:r w:rsidRPr="006855A9">
              <w:rPr>
                <w:lang w:val="it-IT"/>
              </w:rPr>
              <w:t>Qui dovranno essere descritti tutti i rapporti sullo stato d'avanzamento richiesti, unitamente al loro scopo, alla tempistica e ai relativi destinatari.</w:t>
            </w:r>
          </w:p>
        </w:tc>
      </w:tr>
      <w:tr w:rsidR="002E0865" w:rsidTr="002E0865">
        <w:trPr>
          <w:cantSplit/>
        </w:trPr>
        <w:tc>
          <w:tcPr>
            <w:tcW w:w="5070" w:type="dxa"/>
          </w:tcPr>
          <w:p w:rsidR="002E0865" w:rsidRDefault="006855A9" w:rsidP="002E0865">
            <w:pPr>
              <w:pStyle w:val="Titolo3"/>
              <w:keepNext w:val="0"/>
              <w:spacing w:before="120"/>
              <w:outlineLvl w:val="2"/>
            </w:pPr>
            <w:proofErr w:type="spellStart"/>
            <w:r>
              <w:t>Garanzia</w:t>
            </w:r>
            <w:proofErr w:type="spellEnd"/>
          </w:p>
          <w:p w:rsidR="002E0865" w:rsidRPr="009060CE" w:rsidRDefault="002E0865" w:rsidP="002E0865">
            <w:pPr>
              <w:pStyle w:val="Nessunaspaziatura"/>
              <w:spacing w:before="120"/>
            </w:pPr>
          </w:p>
        </w:tc>
        <w:tc>
          <w:tcPr>
            <w:tcW w:w="4172" w:type="dxa"/>
            <w:shd w:val="clear" w:color="auto" w:fill="D6E3BC" w:themeFill="accent3" w:themeFillTint="66"/>
          </w:tcPr>
          <w:p w:rsidR="002E0865" w:rsidRDefault="006855A9" w:rsidP="006855A9">
            <w:pPr>
              <w:spacing w:before="120" w:after="120"/>
            </w:pPr>
            <w:r w:rsidRPr="006855A9">
              <w:rPr>
                <w:lang w:val="it-IT"/>
              </w:rPr>
              <w:t xml:space="preserve">In questa sezione saranno descritti i criteri per una gestione del rischio di successo da utilizzare in tutte le revisioni di garanzia. </w:t>
            </w:r>
          </w:p>
        </w:tc>
      </w:tr>
      <w:tr w:rsidR="002E0865" w:rsidRPr="006855A9" w:rsidTr="002E0865">
        <w:trPr>
          <w:cantSplit/>
        </w:trPr>
        <w:tc>
          <w:tcPr>
            <w:tcW w:w="5070" w:type="dxa"/>
          </w:tcPr>
          <w:p w:rsidR="002E0865" w:rsidRDefault="002E0865" w:rsidP="002E0865">
            <w:pPr>
              <w:pStyle w:val="Titolo3"/>
              <w:keepNext w:val="0"/>
              <w:spacing w:before="120"/>
              <w:outlineLvl w:val="2"/>
            </w:pPr>
            <w:r>
              <w:t>Budget</w:t>
            </w:r>
          </w:p>
          <w:p w:rsidR="002E0865" w:rsidRPr="00383F87" w:rsidRDefault="002E0865" w:rsidP="002E0865">
            <w:pPr>
              <w:spacing w:before="120"/>
            </w:pPr>
          </w:p>
        </w:tc>
        <w:tc>
          <w:tcPr>
            <w:tcW w:w="4172" w:type="dxa"/>
            <w:shd w:val="clear" w:color="auto" w:fill="D6E3BC" w:themeFill="accent3" w:themeFillTint="66"/>
          </w:tcPr>
          <w:p w:rsidR="006855A9" w:rsidRPr="006855A9" w:rsidRDefault="006855A9" w:rsidP="006855A9">
            <w:pPr>
              <w:spacing w:before="120" w:after="120"/>
              <w:rPr>
                <w:lang w:val="it-IT"/>
              </w:rPr>
            </w:pPr>
            <w:r w:rsidRPr="006855A9">
              <w:rPr>
                <w:lang w:val="it-IT"/>
              </w:rPr>
              <w:t>Ci sono due aspetti finanziari della gestione del rischio. In primo luogo, c’è il budget per la gestione del rischio (risorse esterne, software, risorse interne, ecc.). In secondo luogo, c’è il budget che copre il costo delle risposte al rischio.</w:t>
            </w:r>
          </w:p>
          <w:p w:rsidR="002E0865" w:rsidRPr="006855A9" w:rsidRDefault="006855A9" w:rsidP="006855A9">
            <w:pPr>
              <w:spacing w:before="120" w:after="120"/>
              <w:rPr>
                <w:lang w:val="it-IT"/>
              </w:rPr>
            </w:pPr>
            <w:r w:rsidRPr="006855A9">
              <w:rPr>
                <w:lang w:val="it-IT"/>
              </w:rPr>
              <w:t>Il piano di gestione del rischio non conterrà questi budget, ma descriverà se esistono, come sono calcolati, gestiti e dove sono allocati i vari importi.</w:t>
            </w:r>
          </w:p>
        </w:tc>
      </w:tr>
      <w:tr w:rsidR="002E0865" w:rsidRPr="006855A9" w:rsidTr="002E0865">
        <w:trPr>
          <w:cantSplit/>
        </w:trPr>
        <w:tc>
          <w:tcPr>
            <w:tcW w:w="5070" w:type="dxa"/>
          </w:tcPr>
          <w:p w:rsidR="002E0865" w:rsidRDefault="006855A9" w:rsidP="002E0865">
            <w:pPr>
              <w:pStyle w:val="Titolo3"/>
              <w:keepNext w:val="0"/>
              <w:spacing w:before="120"/>
              <w:outlineLvl w:val="2"/>
            </w:pPr>
            <w:proofErr w:type="spellStart"/>
            <w:r>
              <w:t>Interfacce</w:t>
            </w:r>
            <w:proofErr w:type="spellEnd"/>
          </w:p>
          <w:p w:rsidR="002E0865" w:rsidRPr="00383F87" w:rsidRDefault="002E0865" w:rsidP="002E0865">
            <w:pPr>
              <w:spacing w:before="120"/>
            </w:pPr>
          </w:p>
        </w:tc>
        <w:tc>
          <w:tcPr>
            <w:tcW w:w="4172" w:type="dxa"/>
            <w:shd w:val="clear" w:color="auto" w:fill="D6E3BC" w:themeFill="accent3" w:themeFillTint="66"/>
          </w:tcPr>
          <w:p w:rsidR="002E0865" w:rsidRPr="006855A9" w:rsidRDefault="006855A9" w:rsidP="002E0865">
            <w:pPr>
              <w:spacing w:before="120" w:after="120"/>
              <w:rPr>
                <w:lang w:val="it-IT"/>
              </w:rPr>
            </w:pPr>
            <w:r w:rsidRPr="006855A9">
              <w:rPr>
                <w:lang w:val="it-IT"/>
              </w:rPr>
              <w:t>Il rischio è connaturato a tutti gli aspetti di un progetto, programma o portfolio. Gli eventi di rischio e il rischio complessivo hanno collegamenti ai documenti riguardanti i benefici, le questioni, gli stakeholder, ecc. In questa sezione si dovrà stabilire come gestire queste interfacce e questi riferimenti incrociati.</w:t>
            </w:r>
          </w:p>
        </w:tc>
      </w:tr>
    </w:tbl>
    <w:p w:rsidR="00267B12" w:rsidRPr="006855A9" w:rsidRDefault="00267B12" w:rsidP="00267B12">
      <w:pPr>
        <w:pStyle w:val="Nessunaspaziatura"/>
        <w:rPr>
          <w:lang w:val="it-IT"/>
        </w:rPr>
      </w:pPr>
    </w:p>
    <w:p w:rsidR="00267B12" w:rsidRDefault="006855A9" w:rsidP="002E0865">
      <w:pPr>
        <w:pStyle w:val="Titolo2"/>
      </w:pPr>
      <w:proofErr w:type="spellStart"/>
      <w:r>
        <w:lastRenderedPageBreak/>
        <w:t>Procedura</w:t>
      </w:r>
      <w:proofErr w:type="spellEnd"/>
    </w:p>
    <w:p w:rsidR="00267B12" w:rsidRPr="00821C33" w:rsidRDefault="00267B12" w:rsidP="002E0865">
      <w:pPr>
        <w:pStyle w:val="Nessunaspaziatura"/>
        <w:keepNext/>
        <w:keepLines/>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66"/>
        <w:gridCol w:w="4040"/>
      </w:tblGrid>
      <w:tr w:rsidR="002E0865" w:rsidRPr="006855A9" w:rsidTr="002E0865">
        <w:tc>
          <w:tcPr>
            <w:tcW w:w="5070" w:type="dxa"/>
          </w:tcPr>
          <w:p w:rsidR="002E0865" w:rsidRDefault="002E0865" w:rsidP="002E0865">
            <w:pPr>
              <w:pStyle w:val="Titolo3"/>
              <w:spacing w:before="120"/>
              <w:outlineLvl w:val="2"/>
            </w:pPr>
            <w:proofErr w:type="spellStart"/>
            <w:r>
              <w:t>Identif</w:t>
            </w:r>
            <w:r w:rsidR="006855A9">
              <w:t>icare</w:t>
            </w:r>
            <w:proofErr w:type="spellEnd"/>
          </w:p>
          <w:p w:rsidR="002E0865" w:rsidRPr="00217FBC" w:rsidRDefault="002E0865" w:rsidP="002E0865">
            <w:pPr>
              <w:keepNext/>
              <w:keepLines/>
              <w:spacing w:before="120"/>
            </w:pPr>
          </w:p>
        </w:tc>
        <w:tc>
          <w:tcPr>
            <w:tcW w:w="4172" w:type="dxa"/>
            <w:shd w:val="clear" w:color="auto" w:fill="D6E3BC" w:themeFill="accent3" w:themeFillTint="66"/>
          </w:tcPr>
          <w:p w:rsidR="006855A9" w:rsidRPr="006855A9" w:rsidRDefault="006855A9" w:rsidP="006855A9">
            <w:pPr>
              <w:keepNext/>
              <w:keepLines/>
              <w:spacing w:before="120" w:after="120"/>
              <w:rPr>
                <w:lang w:val="it-IT"/>
              </w:rPr>
            </w:pPr>
            <w:r w:rsidRPr="006855A9">
              <w:rPr>
                <w:lang w:val="it-IT"/>
              </w:rPr>
              <w:t xml:space="preserve">Questa sezione raccomanderà gli strumenti e le tecniche da utilizzare per identificare gli eventi di rischio. Questi dovranno riflettere la natura del lavoro (ad esempio di routine o innovativo) e le risorse disponibili. </w:t>
            </w:r>
          </w:p>
          <w:p w:rsidR="002E0865" w:rsidRPr="006855A9" w:rsidRDefault="006855A9" w:rsidP="006855A9">
            <w:pPr>
              <w:keepNext/>
              <w:keepLines/>
              <w:spacing w:before="120" w:after="120"/>
              <w:rPr>
                <w:lang w:val="it-IT"/>
              </w:rPr>
            </w:pPr>
            <w:r w:rsidRPr="006855A9">
              <w:rPr>
                <w:lang w:val="it-IT"/>
              </w:rPr>
              <w:t xml:space="preserve">Nei casi in cui sono state catturate lezioni da lavori precedenti, queste possono essere disponibili come liste di controllo e </w:t>
            </w:r>
            <w:proofErr w:type="spellStart"/>
            <w:r w:rsidRPr="006855A9">
              <w:rPr>
                <w:lang w:val="it-IT"/>
              </w:rPr>
              <w:t>prompt</w:t>
            </w:r>
            <w:proofErr w:type="spellEnd"/>
            <w:r w:rsidRPr="006855A9">
              <w:rPr>
                <w:lang w:val="it-IT"/>
              </w:rPr>
              <w:t xml:space="preserve"> list degli eventi di rischio o delle categorie di rischio da tenere in considerazione.</w:t>
            </w:r>
          </w:p>
        </w:tc>
      </w:tr>
      <w:tr w:rsidR="002E0865" w:rsidRPr="006855A9" w:rsidTr="002E0865">
        <w:trPr>
          <w:cantSplit/>
        </w:trPr>
        <w:tc>
          <w:tcPr>
            <w:tcW w:w="5070" w:type="dxa"/>
          </w:tcPr>
          <w:p w:rsidR="002E0865" w:rsidRDefault="006855A9" w:rsidP="002E0865">
            <w:pPr>
              <w:pStyle w:val="Titolo3"/>
              <w:keepNext w:val="0"/>
              <w:spacing w:before="120"/>
              <w:outlineLvl w:val="2"/>
            </w:pPr>
            <w:proofErr w:type="spellStart"/>
            <w:r>
              <w:t>Valutare</w:t>
            </w:r>
            <w:proofErr w:type="spellEnd"/>
          </w:p>
          <w:p w:rsidR="002E0865" w:rsidRPr="007F67E6" w:rsidRDefault="002E0865" w:rsidP="002E0865">
            <w:pPr>
              <w:spacing w:before="120"/>
            </w:pPr>
          </w:p>
        </w:tc>
        <w:tc>
          <w:tcPr>
            <w:tcW w:w="4172" w:type="dxa"/>
            <w:shd w:val="clear" w:color="auto" w:fill="D6E3BC" w:themeFill="accent3" w:themeFillTint="66"/>
          </w:tcPr>
          <w:p w:rsidR="006855A9" w:rsidRPr="006855A9" w:rsidRDefault="006855A9" w:rsidP="006855A9">
            <w:pPr>
              <w:spacing w:before="120" w:after="120"/>
              <w:rPr>
                <w:lang w:val="it-IT"/>
              </w:rPr>
            </w:pPr>
            <w:r w:rsidRPr="006855A9">
              <w:rPr>
                <w:lang w:val="it-IT"/>
              </w:rPr>
              <w:t xml:space="preserve">Il campo della valutazione del rischio ha un ampio ventaglio di strumenti e tecniche che variano da tecniche di analisi qualitative relativamente semplici fino a tecniche di analisi quantitativa molto sofisticate e relative applicazioni software. </w:t>
            </w:r>
          </w:p>
          <w:p w:rsidR="006855A9" w:rsidRPr="006855A9" w:rsidRDefault="006855A9" w:rsidP="006855A9">
            <w:pPr>
              <w:spacing w:before="120" w:after="120"/>
              <w:rPr>
                <w:lang w:val="it-IT"/>
              </w:rPr>
            </w:pPr>
            <w:r w:rsidRPr="006855A9">
              <w:rPr>
                <w:lang w:val="it-IT"/>
              </w:rPr>
              <w:t>Si deve prestare particolare attenzione ad assicurare che la guida qui offerta includa esattamente gli strumenti e le tecniche che sono appropriati al lavoro da intraprendere. Una eccessiva attività di valutazione del rischio può distogliere dall'adozione di decisioni di buon senso circa il livello e l'estensione entro cui si dovrebbe gestire il rischio.</w:t>
            </w:r>
          </w:p>
          <w:p w:rsidR="002E0865" w:rsidRPr="006855A9" w:rsidRDefault="006855A9" w:rsidP="006855A9">
            <w:pPr>
              <w:spacing w:before="120" w:after="120"/>
              <w:rPr>
                <w:lang w:val="it-IT"/>
              </w:rPr>
            </w:pPr>
            <w:r w:rsidRPr="006855A9">
              <w:rPr>
                <w:lang w:val="it-IT"/>
              </w:rPr>
              <w:t>Questa sezione può anche descrivere i parametri riguardanti il modo di utilizzare alcune tecniche, ad esempio può definire le scale da utilizzare per la probabilità e l'impatto nell'analisi qualitativa, le distribuzioni statistiche da utilizzare nell'analisi Monte Carlo o il metodo preferito per calcolare il valore atteso.</w:t>
            </w:r>
          </w:p>
        </w:tc>
      </w:tr>
      <w:tr w:rsidR="002E0865" w:rsidRPr="00E06E51" w:rsidTr="002E0865">
        <w:tc>
          <w:tcPr>
            <w:tcW w:w="5070" w:type="dxa"/>
          </w:tcPr>
          <w:p w:rsidR="002E0865" w:rsidRDefault="002E0865" w:rsidP="002E0865">
            <w:pPr>
              <w:pStyle w:val="Titolo3"/>
              <w:spacing w:before="120"/>
              <w:outlineLvl w:val="2"/>
            </w:pPr>
            <w:proofErr w:type="spellStart"/>
            <w:r>
              <w:lastRenderedPageBreak/>
              <w:t>P</w:t>
            </w:r>
            <w:r w:rsidR="006855A9">
              <w:t>ianificare</w:t>
            </w:r>
            <w:proofErr w:type="spellEnd"/>
            <w:r w:rsidR="006855A9">
              <w:t xml:space="preserve"> le </w:t>
            </w:r>
            <w:proofErr w:type="spellStart"/>
            <w:r w:rsidR="006855A9">
              <w:t>risposte</w:t>
            </w:r>
            <w:proofErr w:type="spellEnd"/>
          </w:p>
          <w:p w:rsidR="002E0865" w:rsidRPr="007F67E6" w:rsidRDefault="002E0865" w:rsidP="002E0865">
            <w:pPr>
              <w:keepNext/>
              <w:keepLines/>
              <w:spacing w:before="120"/>
            </w:pPr>
          </w:p>
        </w:tc>
        <w:tc>
          <w:tcPr>
            <w:tcW w:w="4172" w:type="dxa"/>
            <w:shd w:val="clear" w:color="auto" w:fill="D6E3BC" w:themeFill="accent3" w:themeFillTint="66"/>
          </w:tcPr>
          <w:p w:rsidR="006855A9" w:rsidRPr="006855A9" w:rsidRDefault="006855A9" w:rsidP="006855A9">
            <w:pPr>
              <w:keepNext/>
              <w:keepLines/>
              <w:spacing w:before="120" w:after="120"/>
              <w:rPr>
                <w:lang w:val="it-IT"/>
              </w:rPr>
            </w:pPr>
            <w:r w:rsidRPr="006855A9">
              <w:rPr>
                <w:lang w:val="it-IT"/>
              </w:rPr>
              <w:t xml:space="preserve"> </w:t>
            </w:r>
            <w:r w:rsidRPr="006855A9">
              <w:rPr>
                <w:lang w:val="it-IT"/>
              </w:rPr>
              <w:t>Le risposte al rischio prescelte dipenderanno dal contesto del rischio e in particolare dall'attitudine al rischio dell'organizzazione. Per esempio, può costituire una politica dell'organizzazione trasferire quante più minacce possibili mediante l'utilizzo di un'assicurazione o l’inserimento degli opportuni termini contrattuali nei rapporti con i fornitori. Al contrario, un'organizzazione può preferire di conservare il controllo su tutte le minacce per ragioni di sicurezza o di riservatezza e prediligere le risposte d</w:t>
            </w:r>
            <w:r>
              <w:rPr>
                <w:lang w:val="it-IT"/>
              </w:rPr>
              <w:t xml:space="preserve">el tipo “ridurre” o “evitare”. </w:t>
            </w:r>
          </w:p>
          <w:p w:rsidR="002E0865" w:rsidRPr="00E06E51" w:rsidRDefault="006855A9" w:rsidP="00E06E51">
            <w:pPr>
              <w:keepNext/>
              <w:keepLines/>
              <w:spacing w:before="120" w:after="120"/>
              <w:rPr>
                <w:lang w:val="it-IT"/>
              </w:rPr>
            </w:pPr>
            <w:r w:rsidRPr="006855A9">
              <w:rPr>
                <w:lang w:val="it-IT"/>
              </w:rPr>
              <w:t>Anche gli approcci alle opportunità possono variare. In alcuni ambienti (ad esempio un appaltatore che consegna un prodotto) è molto meno importante che in altri (ad esempio un progetto di ricerca farmaceutica) investire risorse nell’identificazione delle opportunità.</w:t>
            </w:r>
          </w:p>
        </w:tc>
      </w:tr>
      <w:tr w:rsidR="002E0865" w:rsidRPr="00E06E51" w:rsidTr="002E0865">
        <w:tc>
          <w:tcPr>
            <w:tcW w:w="5070" w:type="dxa"/>
          </w:tcPr>
          <w:p w:rsidR="002E0865" w:rsidRDefault="002E0865" w:rsidP="002E0865">
            <w:pPr>
              <w:pStyle w:val="Titolo3"/>
              <w:keepNext w:val="0"/>
              <w:spacing w:before="120"/>
              <w:outlineLvl w:val="2"/>
            </w:pPr>
            <w:proofErr w:type="spellStart"/>
            <w:r>
              <w:t>Implement</w:t>
            </w:r>
            <w:r w:rsidR="00E06E51">
              <w:t>are</w:t>
            </w:r>
            <w:proofErr w:type="spellEnd"/>
            <w:r w:rsidR="00E06E51">
              <w:t xml:space="preserve"> le </w:t>
            </w:r>
            <w:proofErr w:type="spellStart"/>
            <w:r w:rsidR="00E06E51">
              <w:t>risposte</w:t>
            </w:r>
            <w:proofErr w:type="spellEnd"/>
          </w:p>
          <w:p w:rsidR="002E0865" w:rsidRPr="007F67E6" w:rsidRDefault="002E0865" w:rsidP="002E0865">
            <w:pPr>
              <w:spacing w:before="120"/>
            </w:pPr>
          </w:p>
        </w:tc>
        <w:tc>
          <w:tcPr>
            <w:tcW w:w="4172" w:type="dxa"/>
            <w:shd w:val="clear" w:color="auto" w:fill="D6E3BC" w:themeFill="accent3" w:themeFillTint="66"/>
          </w:tcPr>
          <w:p w:rsidR="002E0865" w:rsidRPr="00E06E51" w:rsidRDefault="00E06E51" w:rsidP="002E0865">
            <w:pPr>
              <w:spacing w:before="120" w:after="120"/>
              <w:rPr>
                <w:lang w:val="it-IT"/>
              </w:rPr>
            </w:pPr>
            <w:r w:rsidRPr="00E06E51">
              <w:rPr>
                <w:lang w:val="it-IT"/>
              </w:rPr>
              <w:t xml:space="preserve">In questa sezione saranno descritte le linee guida per la selezione dei proprietari e degli esecutori del rischio. Sarà descritta anche la modalità di monitoraggio e controllo delle azioni di risposta, e ciò al fine di assicurare la raccolta delle informazioni necessarie per completare i rapporti stabiliti in precedenza. </w:t>
            </w:r>
          </w:p>
        </w:tc>
      </w:tr>
    </w:tbl>
    <w:p w:rsidR="009060E7" w:rsidRPr="00E06E51" w:rsidRDefault="009060E7" w:rsidP="00267B12">
      <w:pPr>
        <w:rPr>
          <w:lang w:val="it-IT"/>
        </w:rPr>
      </w:pPr>
    </w:p>
    <w:sectPr w:rsidR="009060E7" w:rsidRPr="00E06E51" w:rsidSect="00B6566D">
      <w:headerReference w:type="even" r:id="rId7"/>
      <w:headerReference w:type="default" r:id="rId8"/>
      <w:footerReference w:type="even" r:id="rId9"/>
      <w:footerReference w:type="default" r:id="rId10"/>
      <w:headerReference w:type="first" r:id="rId11"/>
      <w:footerReference w:type="first" r:id="rId12"/>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4D" w:rsidRDefault="00C72B4D" w:rsidP="00B134CB">
      <w:pPr>
        <w:spacing w:after="0" w:line="240" w:lineRule="auto"/>
      </w:pPr>
      <w:r>
        <w:separator/>
      </w:r>
    </w:p>
  </w:endnote>
  <w:endnote w:type="continuationSeparator" w:id="0">
    <w:p w:rsidR="00C72B4D" w:rsidRDefault="00C72B4D"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60" w:rsidRDefault="007271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Pidipagina"/>
      <w:jc w:val="right"/>
    </w:pPr>
    <w:r w:rsidRPr="00B6566D">
      <w:rPr>
        <w:noProof/>
        <w:sz w:val="18"/>
        <w:szCs w:val="18"/>
        <w:lang w:val="it-IT" w:eastAsia="it-IT"/>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-33020</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727160">
      <w:rPr>
        <w:sz w:val="18"/>
        <w:szCs w:val="18"/>
      </w:rPr>
      <w:t xml:space="preserve">Template </w:t>
    </w:r>
    <w:proofErr w:type="spellStart"/>
    <w:r w:rsidR="00727160">
      <w:rPr>
        <w:sz w:val="18"/>
        <w:szCs w:val="18"/>
      </w:rPr>
      <w:t>fornito</w:t>
    </w:r>
    <w:proofErr w:type="spellEnd"/>
    <w:r w:rsidR="00727160">
      <w:rPr>
        <w:sz w:val="18"/>
        <w:szCs w:val="18"/>
      </w:rPr>
      <w:t xml:space="preserve"> da</w:t>
    </w:r>
    <w:bookmarkStart w:id="0" w:name="_GoBack"/>
    <w:bookmarkEnd w:id="0"/>
    <w:r w:rsidR="00620548" w:rsidRPr="00B6566D">
      <w:rPr>
        <w:sz w:val="18"/>
        <w:szCs w:val="18"/>
      </w:rPr>
      <w:t xml:space="preserve"> Praxis Framework Ltd</w:t>
    </w:r>
    <w:r w:rsidR="00620548" w:rsidRPr="00B6566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60" w:rsidRDefault="007271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4D" w:rsidRDefault="00C72B4D" w:rsidP="00B134CB">
      <w:pPr>
        <w:spacing w:after="0" w:line="240" w:lineRule="auto"/>
      </w:pPr>
      <w:r>
        <w:separator/>
      </w:r>
    </w:p>
  </w:footnote>
  <w:footnote w:type="continuationSeparator" w:id="0">
    <w:p w:rsidR="00C72B4D" w:rsidRDefault="00C72B4D"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60" w:rsidRDefault="0072716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Intestazione"/>
      <w:ind w:left="-1418"/>
    </w:pPr>
  </w:p>
  <w:p w:rsidR="00383F87" w:rsidRDefault="00CB4DE9" w:rsidP="00B6566D">
    <w:pPr>
      <w:pStyle w:val="Intestazione"/>
    </w:pPr>
    <w:r>
      <w:rPr>
        <w:noProof/>
        <w:lang w:val="it-IT" w:eastAsia="it-IT"/>
      </w:rPr>
      <w:drawing>
        <wp:inline distT="0" distB="0" distL="0" distR="0" wp14:anchorId="34F22D43" wp14:editId="49BF39A8">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Intestazione"/>
      <w:jc w:val="center"/>
    </w:pPr>
  </w:p>
  <w:p w:rsidR="00B134CB" w:rsidRDefault="000346BC" w:rsidP="00383F87">
    <w:pPr>
      <w:pStyle w:val="Intestazione"/>
      <w:jc w:val="center"/>
      <w:rPr>
        <w:sz w:val="44"/>
      </w:rPr>
    </w:pPr>
    <w:r>
      <w:rPr>
        <w:sz w:val="44"/>
      </w:rPr>
      <w:t xml:space="preserve">Piano di </w:t>
    </w:r>
    <w:proofErr w:type="spellStart"/>
    <w:r>
      <w:rPr>
        <w:sz w:val="44"/>
      </w:rPr>
      <w:t>gestione</w:t>
    </w:r>
    <w:proofErr w:type="spellEnd"/>
    <w:r>
      <w:rPr>
        <w:sz w:val="44"/>
      </w:rPr>
      <w:t xml:space="preserve"> del </w:t>
    </w:r>
    <w:proofErr w:type="spellStart"/>
    <w:r>
      <w:rPr>
        <w:sz w:val="44"/>
      </w:rPr>
      <w:t>rischio</w:t>
    </w:r>
    <w:proofErr w:type="spellEnd"/>
  </w:p>
  <w:p w:rsidR="00CB4DE9" w:rsidRDefault="00CB4DE9" w:rsidP="00383F87">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60" w:rsidRDefault="0072716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B"/>
    <w:rsid w:val="00002F52"/>
    <w:rsid w:val="0001338B"/>
    <w:rsid w:val="00030BAF"/>
    <w:rsid w:val="000346BC"/>
    <w:rsid w:val="00070EB1"/>
    <w:rsid w:val="00073DB8"/>
    <w:rsid w:val="000E6C11"/>
    <w:rsid w:val="001045F5"/>
    <w:rsid w:val="001B3A37"/>
    <w:rsid w:val="001C71E7"/>
    <w:rsid w:val="00207FED"/>
    <w:rsid w:val="002120D3"/>
    <w:rsid w:val="00217FBC"/>
    <w:rsid w:val="0023548B"/>
    <w:rsid w:val="00235535"/>
    <w:rsid w:val="00246B2B"/>
    <w:rsid w:val="00267B12"/>
    <w:rsid w:val="002B16BD"/>
    <w:rsid w:val="002B5476"/>
    <w:rsid w:val="002C1003"/>
    <w:rsid w:val="002D3217"/>
    <w:rsid w:val="002E0865"/>
    <w:rsid w:val="002F7FF3"/>
    <w:rsid w:val="003450DB"/>
    <w:rsid w:val="00360664"/>
    <w:rsid w:val="00361957"/>
    <w:rsid w:val="003673EA"/>
    <w:rsid w:val="00370CAA"/>
    <w:rsid w:val="00383F87"/>
    <w:rsid w:val="00390F4E"/>
    <w:rsid w:val="00392D17"/>
    <w:rsid w:val="003A2602"/>
    <w:rsid w:val="003B6BAA"/>
    <w:rsid w:val="003D1B8B"/>
    <w:rsid w:val="003E35BA"/>
    <w:rsid w:val="003F0C4D"/>
    <w:rsid w:val="0041546A"/>
    <w:rsid w:val="00426ED6"/>
    <w:rsid w:val="00460557"/>
    <w:rsid w:val="00463772"/>
    <w:rsid w:val="00473E79"/>
    <w:rsid w:val="004B038F"/>
    <w:rsid w:val="004E5AC6"/>
    <w:rsid w:val="0050156F"/>
    <w:rsid w:val="00526493"/>
    <w:rsid w:val="00565FEB"/>
    <w:rsid w:val="00585CAD"/>
    <w:rsid w:val="005F4A52"/>
    <w:rsid w:val="00620548"/>
    <w:rsid w:val="00621333"/>
    <w:rsid w:val="00661307"/>
    <w:rsid w:val="006855A9"/>
    <w:rsid w:val="006E393A"/>
    <w:rsid w:val="006E7E77"/>
    <w:rsid w:val="00705AE1"/>
    <w:rsid w:val="00707BDC"/>
    <w:rsid w:val="00710D6C"/>
    <w:rsid w:val="00727160"/>
    <w:rsid w:val="007540F1"/>
    <w:rsid w:val="00754EAF"/>
    <w:rsid w:val="007F67E6"/>
    <w:rsid w:val="00805E85"/>
    <w:rsid w:val="00821C33"/>
    <w:rsid w:val="00835FD8"/>
    <w:rsid w:val="0085270D"/>
    <w:rsid w:val="008D09E3"/>
    <w:rsid w:val="009060CE"/>
    <w:rsid w:val="009060E7"/>
    <w:rsid w:val="00942C9C"/>
    <w:rsid w:val="009434F0"/>
    <w:rsid w:val="00954288"/>
    <w:rsid w:val="009863EC"/>
    <w:rsid w:val="009978EB"/>
    <w:rsid w:val="009A39B0"/>
    <w:rsid w:val="009C22F1"/>
    <w:rsid w:val="009C70BB"/>
    <w:rsid w:val="009C71F6"/>
    <w:rsid w:val="009D282C"/>
    <w:rsid w:val="00A20B0E"/>
    <w:rsid w:val="00A444EA"/>
    <w:rsid w:val="00A57AA4"/>
    <w:rsid w:val="00A767B7"/>
    <w:rsid w:val="00A77870"/>
    <w:rsid w:val="00A77B5C"/>
    <w:rsid w:val="00A8539D"/>
    <w:rsid w:val="00AA1758"/>
    <w:rsid w:val="00AC3AAE"/>
    <w:rsid w:val="00AE2B6D"/>
    <w:rsid w:val="00AE5353"/>
    <w:rsid w:val="00B07246"/>
    <w:rsid w:val="00B134CB"/>
    <w:rsid w:val="00B3651C"/>
    <w:rsid w:val="00B447BA"/>
    <w:rsid w:val="00B57969"/>
    <w:rsid w:val="00B6566D"/>
    <w:rsid w:val="00B74CA5"/>
    <w:rsid w:val="00B75171"/>
    <w:rsid w:val="00B90840"/>
    <w:rsid w:val="00C14378"/>
    <w:rsid w:val="00C54162"/>
    <w:rsid w:val="00C60D4D"/>
    <w:rsid w:val="00C64E93"/>
    <w:rsid w:val="00C72B4D"/>
    <w:rsid w:val="00C81ACB"/>
    <w:rsid w:val="00CB4DE9"/>
    <w:rsid w:val="00CC491F"/>
    <w:rsid w:val="00D0668E"/>
    <w:rsid w:val="00D07B25"/>
    <w:rsid w:val="00D66A5F"/>
    <w:rsid w:val="00D81B32"/>
    <w:rsid w:val="00DA5B01"/>
    <w:rsid w:val="00DB01A9"/>
    <w:rsid w:val="00DC58E4"/>
    <w:rsid w:val="00E02D21"/>
    <w:rsid w:val="00E06E51"/>
    <w:rsid w:val="00E24866"/>
    <w:rsid w:val="00E32E16"/>
    <w:rsid w:val="00E9672A"/>
    <w:rsid w:val="00EB3D03"/>
    <w:rsid w:val="00EC0D7C"/>
    <w:rsid w:val="00EE5D4A"/>
    <w:rsid w:val="00EF59C9"/>
    <w:rsid w:val="00FA0BF3"/>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4C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34CB"/>
  </w:style>
  <w:style w:type="paragraph" w:styleId="Pidipagina">
    <w:name w:val="footer"/>
    <w:basedOn w:val="Normale"/>
    <w:link w:val="PidipaginaCarattere"/>
    <w:uiPriority w:val="99"/>
    <w:unhideWhenUsed/>
    <w:rsid w:val="00B134C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34CB"/>
  </w:style>
  <w:style w:type="paragraph" w:styleId="Testofumetto">
    <w:name w:val="Balloon Text"/>
    <w:basedOn w:val="Normale"/>
    <w:link w:val="TestofumettoCarattere"/>
    <w:uiPriority w:val="99"/>
    <w:semiHidden/>
    <w:unhideWhenUsed/>
    <w:rsid w:val="009A3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9B0"/>
    <w:rPr>
      <w:rFonts w:ascii="Tahoma" w:hAnsi="Tahoma" w:cs="Tahoma"/>
      <w:sz w:val="16"/>
      <w:szCs w:val="16"/>
    </w:rPr>
  </w:style>
  <w:style w:type="paragraph" w:styleId="Nessunaspaziatura">
    <w:name w:val="No Spacing"/>
    <w:uiPriority w:val="1"/>
    <w:qFormat/>
    <w:rsid w:val="00EE5D4A"/>
    <w:pPr>
      <w:spacing w:after="0" w:line="240" w:lineRule="auto"/>
    </w:pPr>
  </w:style>
  <w:style w:type="table" w:styleId="Grigliatabella">
    <w:name w:val="Table Grid"/>
    <w:basedOn w:val="Tabellanormale"/>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393A"/>
    <w:rPr>
      <w:sz w:val="16"/>
      <w:szCs w:val="16"/>
    </w:rPr>
  </w:style>
  <w:style w:type="paragraph" w:styleId="Testocommento">
    <w:name w:val="annotation text"/>
    <w:basedOn w:val="Normale"/>
    <w:link w:val="TestocommentoCarattere"/>
    <w:uiPriority w:val="99"/>
    <w:unhideWhenUsed/>
    <w:rsid w:val="006E39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393A"/>
    <w:rPr>
      <w:sz w:val="20"/>
      <w:szCs w:val="20"/>
    </w:rPr>
  </w:style>
  <w:style w:type="paragraph" w:styleId="Soggettocommento">
    <w:name w:val="annotation subject"/>
    <w:basedOn w:val="Testocommento"/>
    <w:next w:val="Testocommento"/>
    <w:link w:val="SoggettocommentoCarattere"/>
    <w:uiPriority w:val="99"/>
    <w:semiHidden/>
    <w:unhideWhenUsed/>
    <w:rsid w:val="006E393A"/>
    <w:rPr>
      <w:b/>
      <w:bCs/>
    </w:rPr>
  </w:style>
  <w:style w:type="character" w:customStyle="1" w:styleId="SoggettocommentoCarattere">
    <w:name w:val="Soggetto commento Carattere"/>
    <w:basedOn w:val="TestocommentoCarattere"/>
    <w:link w:val="Soggettocommento"/>
    <w:uiPriority w:val="99"/>
    <w:semiHidden/>
    <w:rsid w:val="006E393A"/>
    <w:rPr>
      <w:b/>
      <w:bCs/>
      <w:sz w:val="20"/>
      <w:szCs w:val="20"/>
    </w:rPr>
  </w:style>
  <w:style w:type="paragraph" w:styleId="Sommario2">
    <w:name w:val="toc 2"/>
    <w:basedOn w:val="Normale"/>
    <w:next w:val="Normale"/>
    <w:autoRedefine/>
    <w:uiPriority w:val="39"/>
    <w:unhideWhenUsed/>
    <w:rsid w:val="00621333"/>
    <w:pPr>
      <w:spacing w:after="100"/>
      <w:ind w:left="220"/>
    </w:pPr>
  </w:style>
  <w:style w:type="paragraph" w:styleId="Paragrafoelenco">
    <w:name w:val="List Paragraph"/>
    <w:basedOn w:val="Normale"/>
    <w:uiPriority w:val="34"/>
    <w:qFormat/>
    <w:rsid w:val="00621333"/>
    <w:pPr>
      <w:ind w:left="720"/>
      <w:contextualSpacing/>
    </w:pPr>
  </w:style>
  <w:style w:type="character" w:styleId="Collegamentoipertestuale">
    <w:name w:val="Hyperlink"/>
    <w:basedOn w:val="Carpredefinitoparagrafo"/>
    <w:uiPriority w:val="99"/>
    <w:unhideWhenUsed/>
    <w:rsid w:val="00621333"/>
    <w:rPr>
      <w:color w:val="0000FF" w:themeColor="hyperlink"/>
      <w:u w:val="single"/>
    </w:rPr>
  </w:style>
  <w:style w:type="character" w:styleId="Collegamentovisitato">
    <w:name w:val="FollowedHyperlink"/>
    <w:basedOn w:val="Carpredefinitoparagrafo"/>
    <w:uiPriority w:val="99"/>
    <w:semiHidden/>
    <w:unhideWhenUsed/>
    <w:rsid w:val="00621333"/>
    <w:rPr>
      <w:color w:val="800080" w:themeColor="followedHyperlink"/>
      <w:u w:val="single"/>
    </w:rPr>
  </w:style>
  <w:style w:type="character" w:customStyle="1" w:styleId="Titolo2Carattere">
    <w:name w:val="Titolo 2 Carattere"/>
    <w:basedOn w:val="Carpredefinitoparagrafo"/>
    <w:link w:val="Titolo2"/>
    <w:uiPriority w:val="9"/>
    <w:rsid w:val="003673E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919</Words>
  <Characters>5243</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user</cp:lastModifiedBy>
  <cp:revision>4</cp:revision>
  <cp:lastPrinted>2013-11-06T15:48:00Z</cp:lastPrinted>
  <dcterms:created xsi:type="dcterms:W3CDTF">2016-06-20T14:32:00Z</dcterms:created>
  <dcterms:modified xsi:type="dcterms:W3CDTF">2016-06-22T09:36:00Z</dcterms:modified>
</cp:coreProperties>
</file>